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21" w:rsidRPr="005023F4" w:rsidRDefault="00BE4621" w:rsidP="00BE4621">
      <w:pPr>
        <w:jc w:val="center"/>
        <w:rPr>
          <w:b/>
          <w:sz w:val="24"/>
        </w:rPr>
      </w:pPr>
    </w:p>
    <w:p w:rsidR="00BE4621" w:rsidRDefault="00BE4621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8A12B7">
      <w:pPr>
        <w:jc w:val="center"/>
        <w:rPr>
          <w:b/>
          <w:sz w:val="56"/>
          <w:szCs w:val="56"/>
        </w:rPr>
      </w:pPr>
    </w:p>
    <w:p w:rsidR="008A12B7" w:rsidRDefault="008A12B7" w:rsidP="008A12B7">
      <w:pPr>
        <w:jc w:val="center"/>
        <w:rPr>
          <w:b/>
          <w:sz w:val="56"/>
          <w:szCs w:val="56"/>
        </w:rPr>
      </w:pPr>
    </w:p>
    <w:p w:rsidR="008A12B7" w:rsidRDefault="008A12B7" w:rsidP="008A12B7">
      <w:pPr>
        <w:jc w:val="center"/>
        <w:rPr>
          <w:b/>
          <w:sz w:val="56"/>
          <w:szCs w:val="56"/>
        </w:rPr>
      </w:pPr>
    </w:p>
    <w:p w:rsidR="008A12B7" w:rsidRPr="008A12B7" w:rsidRDefault="008A12B7" w:rsidP="008A12B7">
      <w:pPr>
        <w:jc w:val="center"/>
        <w:rPr>
          <w:b/>
          <w:sz w:val="56"/>
          <w:szCs w:val="56"/>
        </w:rPr>
      </w:pPr>
      <w:r w:rsidRPr="008A12B7">
        <w:rPr>
          <w:b/>
          <w:sz w:val="56"/>
          <w:szCs w:val="56"/>
        </w:rPr>
        <w:t>АНАЛИЗ</w:t>
      </w:r>
    </w:p>
    <w:p w:rsidR="008A12B7" w:rsidRDefault="008A12B7" w:rsidP="008A12B7">
      <w:pPr>
        <w:jc w:val="center"/>
        <w:rPr>
          <w:b/>
          <w:sz w:val="24"/>
        </w:rPr>
      </w:pPr>
    </w:p>
    <w:p w:rsidR="008A12B7" w:rsidRDefault="008A12B7" w:rsidP="008A12B7">
      <w:pPr>
        <w:jc w:val="center"/>
        <w:rPr>
          <w:b/>
          <w:sz w:val="24"/>
        </w:rPr>
      </w:pPr>
    </w:p>
    <w:p w:rsidR="008A12B7" w:rsidRDefault="008A12B7" w:rsidP="008A12B7">
      <w:pPr>
        <w:jc w:val="center"/>
        <w:rPr>
          <w:b/>
          <w:sz w:val="24"/>
        </w:rPr>
      </w:pPr>
    </w:p>
    <w:p w:rsidR="008A12B7" w:rsidRPr="008A12B7" w:rsidRDefault="008A12B7" w:rsidP="008A12B7">
      <w:pPr>
        <w:jc w:val="center"/>
        <w:rPr>
          <w:b/>
          <w:sz w:val="56"/>
          <w:szCs w:val="56"/>
        </w:rPr>
      </w:pPr>
      <w:r w:rsidRPr="008A12B7">
        <w:rPr>
          <w:b/>
          <w:sz w:val="56"/>
          <w:szCs w:val="56"/>
        </w:rPr>
        <w:t>КЪМ</w:t>
      </w:r>
    </w:p>
    <w:p w:rsidR="008A12B7" w:rsidRDefault="008A12B7" w:rsidP="008A12B7">
      <w:pPr>
        <w:jc w:val="center"/>
        <w:rPr>
          <w:b/>
          <w:sz w:val="24"/>
        </w:rPr>
      </w:pPr>
    </w:p>
    <w:p w:rsidR="008A12B7" w:rsidRDefault="008A12B7" w:rsidP="008A12B7">
      <w:pPr>
        <w:jc w:val="center"/>
        <w:rPr>
          <w:b/>
          <w:sz w:val="24"/>
        </w:rPr>
      </w:pPr>
    </w:p>
    <w:p w:rsidR="008A12B7" w:rsidRDefault="008A12B7" w:rsidP="008A12B7">
      <w:pPr>
        <w:jc w:val="center"/>
        <w:rPr>
          <w:b/>
          <w:sz w:val="24"/>
        </w:rPr>
      </w:pPr>
    </w:p>
    <w:p w:rsidR="008A12B7" w:rsidRDefault="008A12B7" w:rsidP="008A12B7">
      <w:pPr>
        <w:jc w:val="center"/>
        <w:rPr>
          <w:b/>
          <w:sz w:val="24"/>
        </w:rPr>
      </w:pPr>
    </w:p>
    <w:p w:rsidR="008A12B7" w:rsidRPr="008A12B7" w:rsidRDefault="008A12B7" w:rsidP="008A12B7">
      <w:pPr>
        <w:jc w:val="center"/>
        <w:rPr>
          <w:b/>
          <w:sz w:val="56"/>
          <w:szCs w:val="56"/>
        </w:rPr>
      </w:pPr>
      <w:r w:rsidRPr="008A12B7">
        <w:rPr>
          <w:b/>
          <w:sz w:val="56"/>
          <w:szCs w:val="56"/>
        </w:rPr>
        <w:t>ОБЛАСТНА ЗДРАВНА КАРТА - ДОБРИЧ</w:t>
      </w: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8A12B7" w:rsidRDefault="008A12B7" w:rsidP="00BE4621">
      <w:pPr>
        <w:rPr>
          <w:b/>
          <w:sz w:val="24"/>
        </w:rPr>
      </w:pPr>
    </w:p>
    <w:p w:rsidR="00BE4621" w:rsidRPr="004A3087" w:rsidRDefault="00BE4621" w:rsidP="00E10E42">
      <w:pPr>
        <w:ind w:firstLine="720"/>
        <w:jc w:val="both"/>
        <w:rPr>
          <w:b/>
          <w:szCs w:val="28"/>
        </w:rPr>
      </w:pPr>
      <w:r w:rsidRPr="008A12B7">
        <w:rPr>
          <w:b/>
          <w:szCs w:val="28"/>
        </w:rPr>
        <w:lastRenderedPageBreak/>
        <w:t>Раздел 1. Обща здравно</w:t>
      </w:r>
      <w:r w:rsidR="004A3087">
        <w:rPr>
          <w:b/>
          <w:szCs w:val="28"/>
          <w:lang w:val="en-US"/>
        </w:rPr>
        <w:t xml:space="preserve"> </w:t>
      </w:r>
      <w:r w:rsidRPr="008A12B7">
        <w:rPr>
          <w:b/>
          <w:szCs w:val="28"/>
        </w:rPr>
        <w:t>-</w:t>
      </w:r>
      <w:r w:rsidR="004A3087">
        <w:rPr>
          <w:b/>
          <w:szCs w:val="28"/>
          <w:lang w:val="en-US"/>
        </w:rPr>
        <w:t xml:space="preserve"> </w:t>
      </w:r>
      <w:r w:rsidRPr="008A12B7">
        <w:rPr>
          <w:b/>
          <w:szCs w:val="28"/>
        </w:rPr>
        <w:t>демографска характеристика на областта</w:t>
      </w:r>
      <w:r w:rsidR="004A3087">
        <w:rPr>
          <w:b/>
          <w:szCs w:val="28"/>
        </w:rPr>
        <w:t>.</w:t>
      </w:r>
    </w:p>
    <w:p w:rsidR="008A12B7" w:rsidRPr="00BE4621" w:rsidRDefault="008A12B7" w:rsidP="00E10E42">
      <w:pPr>
        <w:jc w:val="both"/>
        <w:rPr>
          <w:b/>
          <w:sz w:val="24"/>
        </w:rPr>
      </w:pPr>
    </w:p>
    <w:p w:rsidR="00BE4621" w:rsidRDefault="00BE4621" w:rsidP="004A3087">
      <w:pPr>
        <w:autoSpaceDE w:val="0"/>
        <w:autoSpaceDN w:val="0"/>
        <w:adjustRightInd w:val="0"/>
        <w:contextualSpacing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         </w:t>
      </w:r>
      <w:r w:rsidRPr="009015F8">
        <w:rPr>
          <w:color w:val="000000"/>
          <w:sz w:val="24"/>
        </w:rPr>
        <w:t>В ценностната система на българските граждани здравето винаги е заемало едно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от челните места. Основна функция и грижа на държавата е опазване и възстановяване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на здравето и повишаване на качеството на живот на всеки български гражданин.</w:t>
      </w:r>
    </w:p>
    <w:p w:rsidR="00975670" w:rsidRDefault="00975670" w:rsidP="00975670">
      <w:pPr>
        <w:autoSpaceDE w:val="0"/>
        <w:autoSpaceDN w:val="0"/>
        <w:adjustRightInd w:val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 xml:space="preserve">          </w:t>
      </w:r>
      <w:r w:rsidRPr="009015F8">
        <w:rPr>
          <w:color w:val="000000"/>
          <w:sz w:val="24"/>
        </w:rPr>
        <w:t>Здравето като неотменимо човешко право и „</w:t>
      </w:r>
      <w:r w:rsidRPr="009015F8">
        <w:rPr>
          <w:i/>
          <w:iCs/>
          <w:color w:val="000000"/>
          <w:sz w:val="24"/>
        </w:rPr>
        <w:t>състояние на пълно физическо,</w:t>
      </w:r>
      <w:r>
        <w:rPr>
          <w:i/>
          <w:iCs/>
          <w:color w:val="000000"/>
          <w:sz w:val="24"/>
        </w:rPr>
        <w:t xml:space="preserve"> </w:t>
      </w:r>
      <w:r w:rsidRPr="009015F8">
        <w:rPr>
          <w:i/>
          <w:iCs/>
          <w:color w:val="000000"/>
          <w:sz w:val="24"/>
        </w:rPr>
        <w:t>психическо и социално благополучие, а не само липсата на болест или недъг</w:t>
      </w:r>
      <w:r w:rsidRPr="009015F8">
        <w:rPr>
          <w:color w:val="000000"/>
          <w:sz w:val="24"/>
        </w:rPr>
        <w:t>” (СЗО),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включва само по себе си твърде много фактори и взаимовръзки, които не позволяват да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се гледа на него единствено като към обект, подложен на влиянието на явленията и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факторите на външната среда.</w:t>
      </w:r>
    </w:p>
    <w:p w:rsidR="00F467BF" w:rsidRPr="00EE0F8B" w:rsidRDefault="00975670" w:rsidP="00F467BF">
      <w:pPr>
        <w:autoSpaceDE w:val="0"/>
        <w:autoSpaceDN w:val="0"/>
        <w:adjustRightInd w:val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 w:rsidR="00F467BF" w:rsidRPr="009015F8">
        <w:rPr>
          <w:color w:val="000000"/>
          <w:sz w:val="24"/>
        </w:rPr>
        <w:t>Националната здравна стратегия 2014 – 2020 г. е изготвена на основата на</w:t>
      </w:r>
      <w:r w:rsidR="00F467BF">
        <w:rPr>
          <w:color w:val="000000"/>
          <w:sz w:val="24"/>
        </w:rPr>
        <w:t xml:space="preserve"> </w:t>
      </w:r>
      <w:r w:rsidR="00F467BF" w:rsidRPr="009015F8">
        <w:rPr>
          <w:color w:val="000000"/>
          <w:sz w:val="24"/>
        </w:rPr>
        <w:t>задълбочен системен анализ и оценка на индикаторите</w:t>
      </w:r>
      <w:r w:rsidR="00BE041E">
        <w:rPr>
          <w:color w:val="000000"/>
          <w:sz w:val="24"/>
        </w:rPr>
        <w:t>,</w:t>
      </w:r>
      <w:r w:rsidR="00F467BF" w:rsidRPr="009015F8">
        <w:rPr>
          <w:color w:val="000000"/>
          <w:sz w:val="24"/>
        </w:rPr>
        <w:t xml:space="preserve"> характеризиращи състоянието</w:t>
      </w:r>
      <w:r w:rsidR="00F467BF">
        <w:rPr>
          <w:color w:val="000000"/>
          <w:sz w:val="24"/>
        </w:rPr>
        <w:t xml:space="preserve"> </w:t>
      </w:r>
      <w:r w:rsidR="00F467BF" w:rsidRPr="009015F8">
        <w:rPr>
          <w:color w:val="000000"/>
          <w:sz w:val="24"/>
        </w:rPr>
        <w:t>на общественото здраве в ретроспективен, ситуационен и проспективен контекст</w:t>
      </w:r>
      <w:r w:rsidR="00F467BF" w:rsidRPr="00EE0F8B">
        <w:rPr>
          <w:color w:val="000000"/>
          <w:sz w:val="24"/>
        </w:rPr>
        <w:t xml:space="preserve">.   Тя е израз на </w:t>
      </w:r>
      <w:r w:rsidR="00F467BF" w:rsidRPr="000A5BD4">
        <w:rPr>
          <w:color w:val="000000"/>
          <w:sz w:val="24"/>
        </w:rPr>
        <w:t>очертаващото се консенсусно</w:t>
      </w:r>
      <w:r w:rsidR="00F467BF">
        <w:rPr>
          <w:color w:val="000000"/>
          <w:sz w:val="24"/>
        </w:rPr>
        <w:t xml:space="preserve"> решение</w:t>
      </w:r>
      <w:r w:rsidR="00F467BF" w:rsidRPr="00EE0F8B">
        <w:rPr>
          <w:color w:val="000000"/>
          <w:sz w:val="24"/>
        </w:rPr>
        <w:t>, както между експертите в областта на здравеопазването, така и между институционализираните и неформалните структури на гражданското общество относно необходимостта от рязък прелом в здравната политика с акцент върху промоцията на здраве и профилактиката на болестите.</w:t>
      </w:r>
    </w:p>
    <w:p w:rsidR="00BE4621" w:rsidRPr="009015F8" w:rsidRDefault="00BE4621" w:rsidP="00BE4621">
      <w:pPr>
        <w:autoSpaceDE w:val="0"/>
        <w:autoSpaceDN w:val="0"/>
        <w:adjustRightInd w:val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 w:rsidRPr="009015F8">
        <w:rPr>
          <w:color w:val="000000"/>
          <w:sz w:val="24"/>
        </w:rPr>
        <w:t>В условията на пазарна икономика демографското и здравно състояние на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населението се обуславя от комплексното влияние на множество фактори. През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отделните етапи на обществено-икономическото развитие тези фактори изменят не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само силата на влиянието си, но понякога и посоката на въздействие.</w:t>
      </w:r>
    </w:p>
    <w:p w:rsidR="00BE4621" w:rsidRPr="006724B0" w:rsidRDefault="00BE4621" w:rsidP="00BE4621">
      <w:p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color w:val="000000"/>
          <w:sz w:val="24"/>
        </w:rPr>
        <w:t xml:space="preserve">           </w:t>
      </w:r>
      <w:r w:rsidRPr="009015F8">
        <w:rPr>
          <w:color w:val="000000"/>
          <w:sz w:val="24"/>
        </w:rPr>
        <w:t>Демографските и здравни процеси са силно инерционни, което предполага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натрупване напред във времето на отрицателни тенденции. Колкото по-продължителен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е периодът на отрицателните явления, толкова по-бавно и трудно става излизането от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него.Това обуславя необходимостта от значителни финансови средства и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координиране усилията на държавни и обществени органи и организации в различни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области.</w:t>
      </w:r>
    </w:p>
    <w:p w:rsidR="00BE4621" w:rsidRDefault="00BE4621" w:rsidP="00BE4621">
      <w:pPr>
        <w:ind w:firstLine="567"/>
        <w:contextualSpacing/>
        <w:jc w:val="both"/>
        <w:rPr>
          <w:sz w:val="24"/>
        </w:rPr>
      </w:pPr>
      <w:r>
        <w:rPr>
          <w:sz w:val="24"/>
        </w:rPr>
        <w:t>Демографското развитие на страната ни е национален и социален преоритет от огромно значение, изискващ максимална концентрация на усилията и провеждане на активна и последователна политика на институциите и структурите на гражданското общество на централно, регионално и местно ниво.</w:t>
      </w:r>
    </w:p>
    <w:p w:rsidR="00BE4621" w:rsidRPr="00356FD1" w:rsidRDefault="00BE4621" w:rsidP="00BE4621">
      <w:p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color w:val="000000"/>
          <w:sz w:val="24"/>
        </w:rPr>
        <w:t xml:space="preserve">          </w:t>
      </w:r>
      <w:r w:rsidRPr="009015F8">
        <w:rPr>
          <w:color w:val="000000"/>
          <w:sz w:val="24"/>
        </w:rPr>
        <w:t>Демографската ситуация в България за последните години се характеризира със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запазването на тенденцията на намаляване на населението, почти еднакви нива на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раждаемост, смъртност и естествен прираст. Наблюдават се незначителни колебания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през 2009 година, когато показателят за раждаемост е най–висок, коефициентът за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смъртност най–нисък, а естественият прираст на населението - най–благоприятен</w:t>
      </w:r>
      <w:r w:rsidRPr="009015F8">
        <w:rPr>
          <w:i/>
          <w:iCs/>
          <w:color w:val="000000"/>
          <w:sz w:val="24"/>
        </w:rPr>
        <w:t>.</w:t>
      </w:r>
      <w:r>
        <w:rPr>
          <w:i/>
          <w:iCs/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Макар и слабо изразена, средната продължителност на живота в страната</w:t>
      </w:r>
      <w:r>
        <w:rPr>
          <w:color w:val="000000"/>
          <w:sz w:val="24"/>
        </w:rPr>
        <w:t xml:space="preserve"> </w:t>
      </w:r>
      <w:r w:rsidRPr="009015F8">
        <w:rPr>
          <w:color w:val="000000"/>
          <w:sz w:val="24"/>
        </w:rPr>
        <w:t>запазва тенденцията на нарастване и през последните пет години.</w:t>
      </w:r>
    </w:p>
    <w:p w:rsidR="00BE4621" w:rsidRDefault="00BE4621" w:rsidP="00BE4621">
      <w:pPr>
        <w:contextualSpacing/>
        <w:jc w:val="both"/>
        <w:rPr>
          <w:sz w:val="24"/>
        </w:rPr>
      </w:pPr>
      <w:r>
        <w:rPr>
          <w:sz w:val="24"/>
        </w:rPr>
        <w:t xml:space="preserve">         Анализът на здравно-демографските процеси дава стабилна база за определяне и прогнозиране на здравните потребности, а също така и на обема и вида на здравните услуги, които са необходими за удовлетворяването им.</w:t>
      </w:r>
    </w:p>
    <w:p w:rsidR="00BE4621" w:rsidRDefault="00BE4621" w:rsidP="00BE4621">
      <w:pPr>
        <w:pStyle w:val="a3"/>
        <w:ind w:firstLine="567"/>
        <w:contextualSpacing/>
      </w:pPr>
      <w:r w:rsidRPr="00D549AB">
        <w:t xml:space="preserve">От особено значение за определяне на здравно-демографската характеристика на населението и тенденциите на общественото здраве </w:t>
      </w:r>
      <w:r w:rsidRPr="00EE357C">
        <w:rPr>
          <w:b/>
        </w:rPr>
        <w:t>е оценката на неговата възрастова структура</w:t>
      </w:r>
      <w:r w:rsidRPr="00D549AB">
        <w:t xml:space="preserve">. Промените във възрастовата структура на населението оказват съществено влияние върху показателите за обществено здраве, особено върху общите коефициенти на раждаемост, смъртност, </w:t>
      </w:r>
      <w:r w:rsidRPr="00756B7B">
        <w:t>заболеваемост и болестност</w:t>
      </w:r>
      <w:r w:rsidRPr="00D549AB">
        <w:t xml:space="preserve"> и др., и в крайна сметка върху здравните потребности на населението.  </w:t>
      </w:r>
    </w:p>
    <w:p w:rsidR="00D6574F" w:rsidRDefault="00BE4621" w:rsidP="00BE4621">
      <w:pPr>
        <w:contextualSpacing/>
        <w:jc w:val="both"/>
        <w:rPr>
          <w:sz w:val="24"/>
          <w:lang w:val="en-US"/>
        </w:rPr>
      </w:pPr>
      <w:r>
        <w:rPr>
          <w:sz w:val="24"/>
        </w:rPr>
        <w:t xml:space="preserve"> </w:t>
      </w:r>
      <w:bookmarkStart w:id="0" w:name="OLE_LINK11"/>
      <w:bookmarkStart w:id="1" w:name="OLE_LINK12"/>
      <w:r>
        <w:rPr>
          <w:sz w:val="24"/>
        </w:rPr>
        <w:t xml:space="preserve">         </w:t>
      </w:r>
      <w:r w:rsidR="00E10E42">
        <w:rPr>
          <w:sz w:val="24"/>
          <w:lang w:val="en-US"/>
        </w:rPr>
        <w:tab/>
      </w:r>
      <w:r>
        <w:rPr>
          <w:sz w:val="24"/>
        </w:rPr>
        <w:t xml:space="preserve">Към края на 2014 година населението в област Добрич е </w:t>
      </w:r>
      <w:r w:rsidRPr="00D6574F">
        <w:rPr>
          <w:b/>
          <w:sz w:val="24"/>
        </w:rPr>
        <w:t>182 808 души</w:t>
      </w:r>
      <w:r>
        <w:rPr>
          <w:sz w:val="24"/>
        </w:rPr>
        <w:t>. В градовете живеят 69,06 %, а в селата – 30,94 %.</w:t>
      </w:r>
    </w:p>
    <w:p w:rsidR="00BE4621" w:rsidRPr="00320EF1" w:rsidRDefault="007F6131" w:rsidP="00BE4621">
      <w:pPr>
        <w:contextualSpacing/>
        <w:jc w:val="both"/>
        <w:rPr>
          <w:sz w:val="24"/>
        </w:rPr>
      </w:pPr>
      <w:r>
        <w:rPr>
          <w:sz w:val="24"/>
          <w:lang w:val="en-US"/>
        </w:rPr>
        <w:lastRenderedPageBreak/>
        <w:t xml:space="preserve">      </w:t>
      </w:r>
      <w:r w:rsidR="00E10E42">
        <w:rPr>
          <w:sz w:val="24"/>
          <w:lang w:val="en-US"/>
        </w:rPr>
        <w:tab/>
      </w:r>
      <w:r>
        <w:rPr>
          <w:sz w:val="24"/>
          <w:lang w:val="en-US"/>
        </w:rPr>
        <w:t xml:space="preserve"> </w:t>
      </w:r>
      <w:r w:rsidR="00BE4621">
        <w:rPr>
          <w:sz w:val="24"/>
        </w:rPr>
        <w:t>С развитието на демографските процеси в България през последните  години се утвърдиха неблагоприятни тенденциии за намаляване броя на населението. Негативно влияние оказват ниската раждаемост и относително високата смъртност. Тази тенденция е валидна и за област Добрич. Населението през разглеждания тригодишен период намалява през всяка следваща година – от 197 424 през 2010 година</w:t>
      </w:r>
      <w:r w:rsidR="00EE357C">
        <w:rPr>
          <w:sz w:val="24"/>
          <w:lang w:val="en-US"/>
        </w:rPr>
        <w:t>,</w:t>
      </w:r>
      <w:r w:rsidR="00BE4621">
        <w:rPr>
          <w:sz w:val="24"/>
        </w:rPr>
        <w:t xml:space="preserve">  до 182 808 през 2014 година.</w:t>
      </w:r>
    </w:p>
    <w:p w:rsidR="00D6574F" w:rsidRDefault="007F6131" w:rsidP="00D6574F">
      <w:pPr>
        <w:contextualSpacing/>
        <w:jc w:val="both"/>
        <w:rPr>
          <w:sz w:val="24"/>
        </w:rPr>
      </w:pPr>
      <w:r>
        <w:rPr>
          <w:sz w:val="24"/>
          <w:lang w:val="en-US"/>
        </w:rPr>
        <w:t xml:space="preserve">     </w:t>
      </w:r>
      <w:r w:rsidR="00E10E42">
        <w:rPr>
          <w:sz w:val="24"/>
          <w:lang w:val="en-US"/>
        </w:rPr>
        <w:tab/>
      </w:r>
      <w:r>
        <w:rPr>
          <w:sz w:val="24"/>
          <w:lang w:val="en-US"/>
        </w:rPr>
        <w:t xml:space="preserve"> </w:t>
      </w:r>
      <w:r w:rsidR="00BE4621" w:rsidRPr="00320EF1">
        <w:rPr>
          <w:sz w:val="24"/>
        </w:rPr>
        <w:t>Структура</w:t>
      </w:r>
      <w:r w:rsidR="00BE4621">
        <w:rPr>
          <w:sz w:val="24"/>
        </w:rPr>
        <w:t>та</w:t>
      </w:r>
      <w:r w:rsidR="00BE4621" w:rsidRPr="00320EF1">
        <w:rPr>
          <w:sz w:val="24"/>
        </w:rPr>
        <w:t xml:space="preserve"> на населението</w:t>
      </w:r>
      <w:r w:rsidR="00185361" w:rsidRPr="00185361">
        <w:rPr>
          <w:sz w:val="24"/>
        </w:rPr>
        <w:t xml:space="preserve"> </w:t>
      </w:r>
      <w:r w:rsidR="00185361">
        <w:rPr>
          <w:sz w:val="24"/>
        </w:rPr>
        <w:t>в област Добрич</w:t>
      </w:r>
      <w:r w:rsidR="00BE4621" w:rsidRPr="00320EF1">
        <w:rPr>
          <w:sz w:val="24"/>
        </w:rPr>
        <w:t xml:space="preserve"> – градове/села; мъже/жени</w:t>
      </w:r>
      <w:r w:rsidR="00BE4621">
        <w:rPr>
          <w:sz w:val="24"/>
        </w:rPr>
        <w:t xml:space="preserve"> за 2014 година се разпределя както следва: в градовете живеят 126 256 души, което е 69,06 % от цялото население на областта, в селата живеят останалите 56 552 души, или  30,94 %. Броят на жените е 93 415, което представлява 51,10 %</w:t>
      </w:r>
      <w:r>
        <w:rPr>
          <w:sz w:val="24"/>
          <w:lang w:val="en-US"/>
        </w:rPr>
        <w:t>,</w:t>
      </w:r>
      <w:r w:rsidR="00BE4621">
        <w:rPr>
          <w:sz w:val="24"/>
        </w:rPr>
        <w:t xml:space="preserve"> </w:t>
      </w:r>
      <w:r>
        <w:rPr>
          <w:sz w:val="24"/>
          <w:lang w:val="en-US"/>
        </w:rPr>
        <w:t>a</w:t>
      </w:r>
      <w:r w:rsidR="00BE4621">
        <w:rPr>
          <w:sz w:val="24"/>
        </w:rPr>
        <w:t xml:space="preserve"> мъжете са 89 393  или 48,90 %</w:t>
      </w:r>
      <w:r w:rsidR="00D6574F" w:rsidRPr="00D6574F">
        <w:rPr>
          <w:sz w:val="24"/>
        </w:rPr>
        <w:t xml:space="preserve"> </w:t>
      </w:r>
      <w:r w:rsidR="00D6574F">
        <w:rPr>
          <w:sz w:val="24"/>
        </w:rPr>
        <w:t xml:space="preserve">от населението на областта. </w:t>
      </w:r>
    </w:p>
    <w:bookmarkEnd w:id="0"/>
    <w:bookmarkEnd w:id="1"/>
    <w:p w:rsidR="007369AE" w:rsidRPr="005E5278" w:rsidRDefault="007F6131" w:rsidP="007369AE">
      <w:pPr>
        <w:jc w:val="both"/>
        <w:rPr>
          <w:sz w:val="24"/>
        </w:rPr>
      </w:pPr>
      <w:r>
        <w:rPr>
          <w:sz w:val="24"/>
          <w:lang w:val="en-US"/>
        </w:rPr>
        <w:t xml:space="preserve">    </w:t>
      </w:r>
      <w:r w:rsidR="00EE357C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 </w:t>
      </w:r>
      <w:r w:rsidR="00F06FC1">
        <w:rPr>
          <w:sz w:val="24"/>
        </w:rPr>
        <w:t>О</w:t>
      </w:r>
      <w:r w:rsidR="007369AE">
        <w:rPr>
          <w:sz w:val="24"/>
        </w:rPr>
        <w:t>сновни проблеми за демографското развитие на страната са задържащото се високо ниво на смъртността и сравнително по-ниската средна продължителност на живота в сравнение с другите европейски страни, както и отрицателното външно миграционно салдо. Независимо от положителните изменения в някои показатели за демографското развитие и в бъдеще броят на населението ще продължи да намалява. Според прогноза на НСИ</w:t>
      </w:r>
      <w:r w:rsidR="00674BBC">
        <w:rPr>
          <w:sz w:val="24"/>
        </w:rPr>
        <w:t xml:space="preserve"> се</w:t>
      </w:r>
      <w:r w:rsidR="007369AE">
        <w:rPr>
          <w:sz w:val="24"/>
        </w:rPr>
        <w:t xml:space="preserve"> очаква през 2020 година населението на България да е 7 137 хил. души.</w:t>
      </w:r>
    </w:p>
    <w:p w:rsidR="00B63813" w:rsidRDefault="00EE357C" w:rsidP="00EE357C">
      <w:pPr>
        <w:jc w:val="both"/>
        <w:rPr>
          <w:sz w:val="24"/>
        </w:rPr>
      </w:pPr>
      <w:r>
        <w:rPr>
          <w:sz w:val="24"/>
          <w:lang w:val="en-GB"/>
        </w:rPr>
        <w:t xml:space="preserve">   </w:t>
      </w:r>
      <w:r w:rsidR="00B63813">
        <w:rPr>
          <w:sz w:val="24"/>
          <w:lang w:val="en-GB"/>
        </w:rPr>
        <w:t xml:space="preserve">    </w:t>
      </w:r>
      <w:r w:rsidR="00E10E42">
        <w:rPr>
          <w:sz w:val="24"/>
          <w:lang w:val="en-GB"/>
        </w:rPr>
        <w:tab/>
      </w:r>
      <w:r w:rsidR="00B63813" w:rsidRPr="00332AD7">
        <w:rPr>
          <w:sz w:val="24"/>
        </w:rPr>
        <w:t>Обобщена</w:t>
      </w:r>
      <w:r w:rsidR="00B63813">
        <w:rPr>
          <w:sz w:val="24"/>
        </w:rPr>
        <w:t>та</w:t>
      </w:r>
      <w:r w:rsidR="00B63813" w:rsidRPr="00332AD7">
        <w:rPr>
          <w:sz w:val="24"/>
        </w:rPr>
        <w:t xml:space="preserve"> оценка на заболеваемостта и смъртността по причини за умирания</w:t>
      </w:r>
      <w:r w:rsidR="00B63813">
        <w:rPr>
          <w:sz w:val="24"/>
        </w:rPr>
        <w:t xml:space="preserve"> </w:t>
      </w:r>
      <w:r w:rsidR="00B63813" w:rsidRPr="00D549AB">
        <w:rPr>
          <w:sz w:val="24"/>
        </w:rPr>
        <w:t>показва, че основните проблеми на здравето на населението произтичат предимно от заболявания, свързан</w:t>
      </w:r>
      <w:r w:rsidR="00B63813">
        <w:rPr>
          <w:sz w:val="24"/>
        </w:rPr>
        <w:t>и</w:t>
      </w:r>
      <w:r w:rsidR="00B63813" w:rsidRPr="00D549AB">
        <w:rPr>
          <w:sz w:val="24"/>
        </w:rPr>
        <w:t xml:space="preserve"> със застаряване на населението и с</w:t>
      </w:r>
      <w:r w:rsidR="00B63813">
        <w:rPr>
          <w:sz w:val="24"/>
        </w:rPr>
        <w:t>ъс</w:t>
      </w:r>
      <w:r w:rsidR="00B63813" w:rsidRPr="00D549AB">
        <w:rPr>
          <w:sz w:val="24"/>
        </w:rPr>
        <w:t xml:space="preserve"> широкото разпространение на рисковите фактори, </w:t>
      </w:r>
      <w:r w:rsidR="00B63813">
        <w:rPr>
          <w:sz w:val="24"/>
        </w:rPr>
        <w:t>породени от</w:t>
      </w:r>
      <w:r w:rsidR="00B63813" w:rsidRPr="00D549AB">
        <w:rPr>
          <w:sz w:val="24"/>
        </w:rPr>
        <w:t xml:space="preserve"> стила на живот на населението.</w:t>
      </w:r>
    </w:p>
    <w:p w:rsidR="009039C5" w:rsidRDefault="00DA0B57" w:rsidP="00EE357C">
      <w:pPr>
        <w:jc w:val="both"/>
        <w:rPr>
          <w:sz w:val="24"/>
          <w:lang w:val="en-US"/>
        </w:rPr>
      </w:pPr>
      <w:r>
        <w:rPr>
          <w:sz w:val="24"/>
        </w:rPr>
        <w:t xml:space="preserve">      </w:t>
      </w:r>
      <w:r w:rsidR="00E10E42">
        <w:rPr>
          <w:sz w:val="24"/>
          <w:lang w:val="en-US"/>
        </w:rPr>
        <w:tab/>
      </w:r>
      <w:r w:rsidRPr="005E5278">
        <w:rPr>
          <w:sz w:val="24"/>
        </w:rPr>
        <w:t xml:space="preserve">Демографското застаряване на населението показва стабилна тенденция, макар и </w:t>
      </w:r>
      <w:r>
        <w:rPr>
          <w:sz w:val="24"/>
        </w:rPr>
        <w:t xml:space="preserve">с </w:t>
      </w:r>
      <w:r w:rsidRPr="005E5278">
        <w:rPr>
          <w:sz w:val="24"/>
        </w:rPr>
        <w:t>по-бавни темпове в област Добрич.</w:t>
      </w:r>
    </w:p>
    <w:p w:rsidR="007F6131" w:rsidRPr="005E5278" w:rsidRDefault="007F6131" w:rsidP="007F6131">
      <w:pPr>
        <w:jc w:val="both"/>
        <w:rPr>
          <w:sz w:val="24"/>
        </w:rPr>
      </w:pPr>
      <w:r>
        <w:rPr>
          <w:sz w:val="24"/>
          <w:lang w:val="en-US"/>
        </w:rPr>
        <w:t xml:space="preserve">             </w:t>
      </w:r>
      <w:r w:rsidRPr="005E5278">
        <w:rPr>
          <w:sz w:val="24"/>
        </w:rPr>
        <w:t>Високата честота на артрити, ревматизъм, хронични заболявания, на сърцето, мозъка и белите дробове, включително инсулт, деменция и рак, водещи до трайно инвалидизиране, правят възрастните хора значителни консуматори на здравни услуги. Това в голяма степен е и един от най-съществените фактори за развитието на здравни и социални услуги</w:t>
      </w:r>
      <w:r w:rsidR="009A3405">
        <w:rPr>
          <w:sz w:val="24"/>
        </w:rPr>
        <w:t>, както на национално, така и на областно ниво.</w:t>
      </w:r>
    </w:p>
    <w:p w:rsidR="00B63813" w:rsidRDefault="00B63813" w:rsidP="00B63813">
      <w:pPr>
        <w:autoSpaceDE w:val="0"/>
        <w:autoSpaceDN w:val="0"/>
        <w:adjustRightInd w:val="0"/>
        <w:spacing w:line="228" w:lineRule="auto"/>
        <w:jc w:val="both"/>
        <w:rPr>
          <w:sz w:val="24"/>
          <w:lang w:val="en-GB"/>
        </w:rPr>
      </w:pPr>
      <w:r>
        <w:rPr>
          <w:sz w:val="24"/>
        </w:rPr>
        <w:t xml:space="preserve">              </w:t>
      </w:r>
      <w:r w:rsidRPr="00D549AB">
        <w:rPr>
          <w:sz w:val="24"/>
        </w:rPr>
        <w:t xml:space="preserve">Социалната значимост на хроничните болести </w:t>
      </w:r>
      <w:r>
        <w:rPr>
          <w:sz w:val="24"/>
        </w:rPr>
        <w:t xml:space="preserve">се определя от високото ниво на смъртност, особено в активна възраст, висок относителен дял на </w:t>
      </w:r>
      <w:r w:rsidRPr="00D549AB">
        <w:rPr>
          <w:sz w:val="24"/>
        </w:rPr>
        <w:t>общата забол</w:t>
      </w:r>
      <w:r>
        <w:rPr>
          <w:sz w:val="24"/>
        </w:rPr>
        <w:t>ева</w:t>
      </w:r>
      <w:r w:rsidRPr="00D549AB">
        <w:rPr>
          <w:sz w:val="24"/>
        </w:rPr>
        <w:t>емост и болестност, временна неработоспособност, първична инвалидност и хоспитализирана заболеваемост</w:t>
      </w:r>
      <w:r>
        <w:rPr>
          <w:sz w:val="24"/>
        </w:rPr>
        <w:t>.</w:t>
      </w:r>
    </w:p>
    <w:p w:rsidR="00B63813" w:rsidRPr="00D549AB" w:rsidRDefault="00B63813" w:rsidP="00B6381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През 2014 година се наблюдава повишаване на хоспитализираната заболеваемост</w:t>
      </w:r>
      <w:r w:rsidRPr="00C712C3">
        <w:rPr>
          <w:color w:val="000000"/>
          <w:sz w:val="24"/>
        </w:rPr>
        <w:t xml:space="preserve"> </w:t>
      </w:r>
      <w:r>
        <w:rPr>
          <w:sz w:val="24"/>
          <w:lang w:val="ru-RU"/>
        </w:rPr>
        <w:t xml:space="preserve">спрямо 2013 година </w:t>
      </w:r>
      <w:r>
        <w:rPr>
          <w:color w:val="000000"/>
          <w:sz w:val="24"/>
        </w:rPr>
        <w:t xml:space="preserve">от почти всички групи заболявания, което означава че хората са в по-лошо здраве. Наблюдението показва, че масово хората отказват да се лекуват поради финансови проблеми, които се формират в </w:t>
      </w:r>
      <w:r w:rsidRPr="00D549AB">
        <w:rPr>
          <w:color w:val="000000"/>
          <w:sz w:val="24"/>
        </w:rPr>
        <w:t xml:space="preserve">социалната и икономическа среда на живот. Значение имат и други фактори като дейността на здравната система и обществото за контрол </w:t>
      </w:r>
      <w:r>
        <w:rPr>
          <w:color w:val="000000"/>
          <w:sz w:val="24"/>
        </w:rPr>
        <w:t xml:space="preserve">върху социалнозначимите </w:t>
      </w:r>
      <w:r w:rsidRPr="00D549AB">
        <w:rPr>
          <w:color w:val="000000"/>
          <w:sz w:val="24"/>
        </w:rPr>
        <w:t>болести, личните грижи за здраве и др.</w:t>
      </w:r>
    </w:p>
    <w:p w:rsidR="00B63813" w:rsidRPr="00D549AB" w:rsidRDefault="00B63813" w:rsidP="00B63813">
      <w:pPr>
        <w:autoSpaceDE w:val="0"/>
        <w:autoSpaceDN w:val="0"/>
        <w:adjustRightInd w:val="0"/>
        <w:spacing w:line="228" w:lineRule="auto"/>
        <w:ind w:firstLine="560"/>
        <w:jc w:val="both"/>
        <w:rPr>
          <w:sz w:val="24"/>
        </w:rPr>
      </w:pPr>
      <w:r>
        <w:rPr>
          <w:sz w:val="24"/>
        </w:rPr>
        <w:t xml:space="preserve">      </w:t>
      </w:r>
      <w:r w:rsidRPr="00D549AB">
        <w:rPr>
          <w:sz w:val="24"/>
        </w:rPr>
        <w:t>Като социалнозначими заболявания в България се определят</w:t>
      </w:r>
      <w:r>
        <w:rPr>
          <w:sz w:val="24"/>
        </w:rPr>
        <w:t xml:space="preserve"> :</w:t>
      </w:r>
    </w:p>
    <w:p w:rsidR="00B63813" w:rsidRPr="00D549AB" w:rsidRDefault="00B63813" w:rsidP="00B63813">
      <w:pPr>
        <w:numPr>
          <w:ilvl w:val="0"/>
          <w:numId w:val="6"/>
        </w:numPr>
        <w:autoSpaceDE w:val="0"/>
        <w:autoSpaceDN w:val="0"/>
        <w:adjustRightInd w:val="0"/>
        <w:spacing w:line="228" w:lineRule="auto"/>
        <w:ind w:left="1134" w:firstLine="0"/>
        <w:jc w:val="both"/>
        <w:rPr>
          <w:sz w:val="24"/>
        </w:rPr>
      </w:pPr>
      <w:r w:rsidRPr="00D549AB">
        <w:rPr>
          <w:sz w:val="24"/>
        </w:rPr>
        <w:t>Болестите на органите на кръвообръщението</w:t>
      </w:r>
    </w:p>
    <w:p w:rsidR="00B63813" w:rsidRPr="00D549AB" w:rsidRDefault="00B63813" w:rsidP="00B63813">
      <w:pPr>
        <w:numPr>
          <w:ilvl w:val="0"/>
          <w:numId w:val="6"/>
        </w:numPr>
        <w:autoSpaceDE w:val="0"/>
        <w:autoSpaceDN w:val="0"/>
        <w:adjustRightInd w:val="0"/>
        <w:spacing w:line="228" w:lineRule="auto"/>
        <w:ind w:left="1134" w:firstLine="0"/>
        <w:jc w:val="both"/>
        <w:rPr>
          <w:sz w:val="24"/>
        </w:rPr>
      </w:pPr>
      <w:r w:rsidRPr="00D549AB">
        <w:rPr>
          <w:sz w:val="24"/>
        </w:rPr>
        <w:t>Злокачествените новообразувания</w:t>
      </w:r>
    </w:p>
    <w:p w:rsidR="00B63813" w:rsidRPr="00D549AB" w:rsidRDefault="00B63813" w:rsidP="00B63813">
      <w:pPr>
        <w:numPr>
          <w:ilvl w:val="0"/>
          <w:numId w:val="6"/>
        </w:numPr>
        <w:autoSpaceDE w:val="0"/>
        <w:autoSpaceDN w:val="0"/>
        <w:adjustRightInd w:val="0"/>
        <w:spacing w:line="228" w:lineRule="auto"/>
        <w:ind w:left="1134" w:firstLine="0"/>
        <w:jc w:val="both"/>
        <w:rPr>
          <w:sz w:val="24"/>
        </w:rPr>
      </w:pPr>
      <w:r w:rsidRPr="00D549AB">
        <w:rPr>
          <w:sz w:val="24"/>
        </w:rPr>
        <w:t>Хроничните болести на дихателната система</w:t>
      </w:r>
    </w:p>
    <w:p w:rsidR="00B63813" w:rsidRPr="00D549AB" w:rsidRDefault="00B63813" w:rsidP="00B63813">
      <w:pPr>
        <w:numPr>
          <w:ilvl w:val="0"/>
          <w:numId w:val="6"/>
        </w:numPr>
        <w:autoSpaceDE w:val="0"/>
        <w:autoSpaceDN w:val="0"/>
        <w:adjustRightInd w:val="0"/>
        <w:spacing w:line="228" w:lineRule="auto"/>
        <w:ind w:left="1134" w:firstLine="0"/>
        <w:jc w:val="both"/>
        <w:rPr>
          <w:sz w:val="24"/>
        </w:rPr>
      </w:pPr>
      <w:r w:rsidRPr="00D549AB">
        <w:rPr>
          <w:sz w:val="24"/>
        </w:rPr>
        <w:t>Туберкулоза</w:t>
      </w:r>
    </w:p>
    <w:p w:rsidR="00B63813" w:rsidRPr="00D549AB" w:rsidRDefault="00B63813" w:rsidP="00B63813">
      <w:pPr>
        <w:numPr>
          <w:ilvl w:val="0"/>
          <w:numId w:val="6"/>
        </w:numPr>
        <w:autoSpaceDE w:val="0"/>
        <w:autoSpaceDN w:val="0"/>
        <w:adjustRightInd w:val="0"/>
        <w:spacing w:line="228" w:lineRule="auto"/>
        <w:ind w:left="1134" w:firstLine="0"/>
        <w:jc w:val="both"/>
        <w:rPr>
          <w:sz w:val="24"/>
        </w:rPr>
      </w:pPr>
      <w:r w:rsidRPr="00D549AB">
        <w:rPr>
          <w:sz w:val="24"/>
        </w:rPr>
        <w:t>Травми, злополуки и отравяния</w:t>
      </w:r>
    </w:p>
    <w:p w:rsidR="00B63813" w:rsidRPr="00D549AB" w:rsidRDefault="00B63813" w:rsidP="00B63813">
      <w:pPr>
        <w:numPr>
          <w:ilvl w:val="0"/>
          <w:numId w:val="6"/>
        </w:numPr>
        <w:autoSpaceDE w:val="0"/>
        <w:autoSpaceDN w:val="0"/>
        <w:adjustRightInd w:val="0"/>
        <w:spacing w:line="228" w:lineRule="auto"/>
        <w:ind w:left="1134" w:firstLine="0"/>
        <w:jc w:val="both"/>
        <w:rPr>
          <w:sz w:val="24"/>
        </w:rPr>
      </w:pPr>
      <w:r w:rsidRPr="00D549AB">
        <w:rPr>
          <w:sz w:val="24"/>
        </w:rPr>
        <w:t>Болести на нервната система</w:t>
      </w:r>
    </w:p>
    <w:p w:rsidR="00B63813" w:rsidRPr="00D549AB" w:rsidRDefault="00B63813" w:rsidP="00B63813">
      <w:pPr>
        <w:numPr>
          <w:ilvl w:val="0"/>
          <w:numId w:val="6"/>
        </w:numPr>
        <w:autoSpaceDE w:val="0"/>
        <w:autoSpaceDN w:val="0"/>
        <w:adjustRightInd w:val="0"/>
        <w:spacing w:line="228" w:lineRule="auto"/>
        <w:ind w:left="1134" w:firstLine="0"/>
        <w:jc w:val="both"/>
        <w:rPr>
          <w:sz w:val="24"/>
        </w:rPr>
      </w:pPr>
      <w:r w:rsidRPr="00D549AB">
        <w:rPr>
          <w:sz w:val="24"/>
        </w:rPr>
        <w:t>Захарен диабет</w:t>
      </w:r>
    </w:p>
    <w:p w:rsidR="00B63813" w:rsidRPr="00D549AB" w:rsidRDefault="00B63813" w:rsidP="00B63813">
      <w:pPr>
        <w:numPr>
          <w:ilvl w:val="0"/>
          <w:numId w:val="6"/>
        </w:numPr>
        <w:autoSpaceDE w:val="0"/>
        <w:autoSpaceDN w:val="0"/>
        <w:adjustRightInd w:val="0"/>
        <w:spacing w:line="228" w:lineRule="auto"/>
        <w:ind w:left="1134" w:firstLine="0"/>
        <w:jc w:val="both"/>
        <w:rPr>
          <w:sz w:val="24"/>
        </w:rPr>
      </w:pPr>
      <w:r w:rsidRPr="00D549AB">
        <w:rPr>
          <w:sz w:val="24"/>
        </w:rPr>
        <w:t>Психични разстройства</w:t>
      </w:r>
    </w:p>
    <w:p w:rsidR="009A3405" w:rsidRPr="009E7141" w:rsidRDefault="00F3237B" w:rsidP="00E10E42">
      <w:pPr>
        <w:ind w:firstLine="720"/>
        <w:jc w:val="both"/>
        <w:rPr>
          <w:noProof/>
          <w:sz w:val="24"/>
        </w:rPr>
      </w:pPr>
      <w:r w:rsidRPr="0052389B">
        <w:rPr>
          <w:sz w:val="24"/>
        </w:rPr>
        <w:lastRenderedPageBreak/>
        <w:t>Анализът на заболеваемостта и</w:t>
      </w:r>
      <w:r w:rsidRPr="0052389B">
        <w:rPr>
          <w:b/>
          <w:sz w:val="24"/>
        </w:rPr>
        <w:t xml:space="preserve"> </w:t>
      </w:r>
      <w:r w:rsidRPr="0052389B">
        <w:rPr>
          <w:sz w:val="24"/>
        </w:rPr>
        <w:t>болестността в област</w:t>
      </w:r>
      <w:r w:rsidR="0026200C" w:rsidRPr="0052389B">
        <w:rPr>
          <w:sz w:val="24"/>
          <w:lang w:val="en-US"/>
        </w:rPr>
        <w:t xml:space="preserve"> </w:t>
      </w:r>
      <w:r w:rsidR="0026200C" w:rsidRPr="0052389B">
        <w:rPr>
          <w:sz w:val="24"/>
        </w:rPr>
        <w:t xml:space="preserve">Добрич през 2014 година </w:t>
      </w:r>
      <w:r w:rsidRPr="009E7141">
        <w:rPr>
          <w:noProof/>
          <w:sz w:val="24"/>
        </w:rPr>
        <w:t>показва</w:t>
      </w:r>
      <w:r w:rsidR="0026200C" w:rsidRPr="009E7141">
        <w:rPr>
          <w:noProof/>
          <w:sz w:val="24"/>
        </w:rPr>
        <w:t xml:space="preserve"> че</w:t>
      </w:r>
      <w:r w:rsidR="0052389B" w:rsidRPr="009E7141">
        <w:rPr>
          <w:noProof/>
          <w:sz w:val="24"/>
        </w:rPr>
        <w:t>:</w:t>
      </w:r>
    </w:p>
    <w:p w:rsidR="00B25AAF" w:rsidRPr="009E7141" w:rsidRDefault="0026200C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Водещи в заболеваемостта са болестите на дихателната система</w:t>
      </w:r>
      <w:r w:rsidR="00A46B51" w:rsidRPr="009E7141">
        <w:rPr>
          <w:noProof/>
          <w:sz w:val="24"/>
        </w:rPr>
        <w:t xml:space="preserve">– </w:t>
      </w:r>
      <w:r w:rsidR="00A46B51" w:rsidRPr="009E7141">
        <w:rPr>
          <w:b/>
          <w:noProof/>
          <w:sz w:val="24"/>
        </w:rPr>
        <w:t>231,83</w:t>
      </w:r>
      <w:r w:rsidR="00A46B51" w:rsidRPr="009E7141">
        <w:rPr>
          <w:noProof/>
          <w:sz w:val="24"/>
        </w:rPr>
        <w:t xml:space="preserve"> на хиляда,</w:t>
      </w:r>
      <w:r w:rsidRPr="009E7141">
        <w:rPr>
          <w:noProof/>
          <w:sz w:val="24"/>
        </w:rPr>
        <w:t xml:space="preserve"> следвани от</w:t>
      </w:r>
      <w:r w:rsidR="00222F92" w:rsidRPr="009E7141">
        <w:rPr>
          <w:noProof/>
          <w:sz w:val="24"/>
        </w:rPr>
        <w:t xml:space="preserve"> </w:t>
      </w:r>
      <w:r w:rsidR="00A46B51" w:rsidRPr="009E7141">
        <w:rPr>
          <w:noProof/>
          <w:sz w:val="24"/>
        </w:rPr>
        <w:t>болести на пикочо-половата система– 82,02 на хиляда,</w:t>
      </w:r>
      <w:r w:rsidR="00A46B51" w:rsidRPr="009E7141">
        <w:rPr>
          <w:b/>
          <w:noProof/>
          <w:color w:val="FF0000"/>
          <w:sz w:val="20"/>
        </w:rPr>
        <w:t xml:space="preserve"> </w:t>
      </w:r>
      <w:r w:rsidR="00A46B51" w:rsidRPr="009E7141">
        <w:rPr>
          <w:noProof/>
          <w:sz w:val="24"/>
        </w:rPr>
        <w:t>болестите на органите на кръвообращението</w:t>
      </w:r>
      <w:r w:rsidR="000D5F14" w:rsidRPr="009E7141">
        <w:rPr>
          <w:noProof/>
          <w:sz w:val="24"/>
        </w:rPr>
        <w:t xml:space="preserve"> и</w:t>
      </w:r>
      <w:r w:rsidR="0052389B" w:rsidRPr="009E7141">
        <w:rPr>
          <w:noProof/>
          <w:sz w:val="20"/>
        </w:rPr>
        <w:t xml:space="preserve"> </w:t>
      </w:r>
      <w:r w:rsidR="000D5F14" w:rsidRPr="009E7141">
        <w:rPr>
          <w:noProof/>
          <w:sz w:val="24"/>
        </w:rPr>
        <w:t>тези</w:t>
      </w:r>
      <w:r w:rsidR="0052389B" w:rsidRPr="009E7141">
        <w:rPr>
          <w:noProof/>
          <w:sz w:val="24"/>
        </w:rPr>
        <w:t xml:space="preserve"> на окото и придатъците му</w:t>
      </w:r>
      <w:r w:rsidR="000D5F14" w:rsidRPr="009E7141">
        <w:rPr>
          <w:noProof/>
          <w:sz w:val="24"/>
        </w:rPr>
        <w:t xml:space="preserve">  - 75,4</w:t>
      </w:r>
      <w:r w:rsidR="00A56830" w:rsidRPr="009E7141">
        <w:rPr>
          <w:noProof/>
          <w:sz w:val="24"/>
        </w:rPr>
        <w:t xml:space="preserve"> на хиляда</w:t>
      </w:r>
      <w:r w:rsidR="000D5F14" w:rsidRPr="009E7141">
        <w:rPr>
          <w:noProof/>
          <w:sz w:val="24"/>
        </w:rPr>
        <w:t xml:space="preserve"> </w:t>
      </w:r>
      <w:r w:rsidR="0052389B" w:rsidRPr="009E7141">
        <w:rPr>
          <w:noProof/>
          <w:sz w:val="24"/>
        </w:rPr>
        <w:t xml:space="preserve"> </w:t>
      </w:r>
      <w:r w:rsidR="00A56830" w:rsidRPr="009E7141">
        <w:rPr>
          <w:noProof/>
          <w:sz w:val="24"/>
        </w:rPr>
        <w:t xml:space="preserve">и </w:t>
      </w:r>
      <w:r w:rsidR="0052389B" w:rsidRPr="009E7141">
        <w:rPr>
          <w:noProof/>
          <w:sz w:val="24"/>
        </w:rPr>
        <w:t>травми и отравяния</w:t>
      </w:r>
      <w:r w:rsidR="000D5F14" w:rsidRPr="009E7141">
        <w:rPr>
          <w:noProof/>
          <w:sz w:val="24"/>
        </w:rPr>
        <w:t xml:space="preserve"> - 53,9</w:t>
      </w:r>
      <w:r w:rsidR="00B25AAF" w:rsidRPr="009E7141">
        <w:rPr>
          <w:noProof/>
          <w:sz w:val="24"/>
        </w:rPr>
        <w:t xml:space="preserve"> на хиляда.</w:t>
      </w:r>
    </w:p>
    <w:p w:rsidR="009A3405" w:rsidRPr="009E7141" w:rsidRDefault="0052389B" w:rsidP="0052389B">
      <w:pPr>
        <w:jc w:val="both"/>
        <w:rPr>
          <w:noProof/>
          <w:sz w:val="24"/>
        </w:rPr>
      </w:pPr>
      <w:r w:rsidRPr="009E7141">
        <w:rPr>
          <w:noProof/>
          <w:sz w:val="24"/>
        </w:rPr>
        <w:t>В с</w:t>
      </w:r>
      <w:r w:rsidR="00A56830" w:rsidRPr="009E7141">
        <w:rPr>
          <w:noProof/>
          <w:sz w:val="24"/>
        </w:rPr>
        <w:t xml:space="preserve">труктурата на </w:t>
      </w:r>
      <w:r w:rsidR="009A3405" w:rsidRPr="009E7141">
        <w:rPr>
          <w:noProof/>
          <w:sz w:val="24"/>
        </w:rPr>
        <w:t xml:space="preserve">болестността е обратно, водещи са болестите на органите на кръвообращението – </w:t>
      </w:r>
      <w:r w:rsidR="009A3405" w:rsidRPr="009E7141">
        <w:rPr>
          <w:b/>
          <w:noProof/>
          <w:sz w:val="24"/>
        </w:rPr>
        <w:t>565,3</w:t>
      </w:r>
      <w:r w:rsidR="009A3405" w:rsidRPr="009E7141">
        <w:rPr>
          <w:noProof/>
          <w:sz w:val="24"/>
        </w:rPr>
        <w:t xml:space="preserve"> на хиляда, следва</w:t>
      </w:r>
      <w:r w:rsidR="00A56830" w:rsidRPr="009E7141">
        <w:rPr>
          <w:noProof/>
          <w:sz w:val="24"/>
        </w:rPr>
        <w:t>ни от</w:t>
      </w:r>
      <w:r w:rsidR="009A3405" w:rsidRPr="009E7141">
        <w:rPr>
          <w:noProof/>
          <w:sz w:val="24"/>
        </w:rPr>
        <w:t xml:space="preserve"> болести на дихателната система – 386,1 на хиляда</w:t>
      </w:r>
      <w:r w:rsidR="00A56830" w:rsidRPr="009E7141">
        <w:rPr>
          <w:noProof/>
          <w:sz w:val="24"/>
        </w:rPr>
        <w:t>,</w:t>
      </w:r>
      <w:r w:rsidR="009A3405" w:rsidRPr="009E7141">
        <w:rPr>
          <w:noProof/>
          <w:sz w:val="24"/>
        </w:rPr>
        <w:t>болести на пикочо– половата система – 197,2 на хиляда</w:t>
      </w:r>
      <w:r w:rsidR="00A56830" w:rsidRPr="009E7141">
        <w:rPr>
          <w:noProof/>
          <w:sz w:val="20"/>
        </w:rPr>
        <w:t xml:space="preserve"> </w:t>
      </w:r>
      <w:r w:rsidR="00A56830" w:rsidRPr="009E7141">
        <w:rPr>
          <w:noProof/>
          <w:sz w:val="24"/>
        </w:rPr>
        <w:t>и</w:t>
      </w:r>
      <w:r w:rsidR="00A56830" w:rsidRPr="009E7141">
        <w:rPr>
          <w:noProof/>
          <w:sz w:val="20"/>
        </w:rPr>
        <w:t xml:space="preserve"> </w:t>
      </w:r>
      <w:r w:rsidRPr="009E7141">
        <w:rPr>
          <w:noProof/>
          <w:sz w:val="24"/>
        </w:rPr>
        <w:t>болести на ендокринната система, разстройства на храненето и на обмяната на веществата – 191,4</w:t>
      </w:r>
      <w:r w:rsidR="00A56830" w:rsidRPr="009E7141">
        <w:rPr>
          <w:noProof/>
          <w:sz w:val="24"/>
        </w:rPr>
        <w:t xml:space="preserve"> на хиляда</w:t>
      </w:r>
      <w:r w:rsidR="009A3405" w:rsidRPr="009E7141">
        <w:rPr>
          <w:noProof/>
          <w:sz w:val="24"/>
        </w:rPr>
        <w:t>.</w:t>
      </w:r>
    </w:p>
    <w:p w:rsidR="009A3405" w:rsidRPr="009E7141" w:rsidRDefault="009A3405" w:rsidP="00B63813">
      <w:pPr>
        <w:jc w:val="both"/>
        <w:rPr>
          <w:noProof/>
          <w:sz w:val="24"/>
        </w:rPr>
      </w:pPr>
    </w:p>
    <w:p w:rsidR="00BE4621" w:rsidRPr="009E7141" w:rsidRDefault="00BE4621" w:rsidP="00E10E42">
      <w:pPr>
        <w:ind w:firstLine="720"/>
        <w:jc w:val="both"/>
        <w:rPr>
          <w:rStyle w:val="FontStyle113"/>
          <w:b/>
          <w:noProof/>
          <w:sz w:val="28"/>
          <w:szCs w:val="28"/>
        </w:rPr>
      </w:pPr>
      <w:r w:rsidRPr="009E7141">
        <w:rPr>
          <w:b/>
          <w:noProof/>
          <w:szCs w:val="28"/>
        </w:rPr>
        <w:t xml:space="preserve">Раздел 2. </w:t>
      </w:r>
      <w:r w:rsidRPr="009E7141">
        <w:rPr>
          <w:rStyle w:val="FontStyle113"/>
          <w:b/>
          <w:noProof/>
          <w:sz w:val="28"/>
          <w:szCs w:val="28"/>
        </w:rPr>
        <w:t>Състояние и тенденции в развитие на системата за здравеопазване в област</w:t>
      </w:r>
      <w:r w:rsidR="00F3237B" w:rsidRPr="009E7141">
        <w:rPr>
          <w:rStyle w:val="FontStyle113"/>
          <w:b/>
          <w:noProof/>
          <w:sz w:val="28"/>
          <w:szCs w:val="28"/>
        </w:rPr>
        <w:t xml:space="preserve">  Добрич</w:t>
      </w:r>
    </w:p>
    <w:p w:rsidR="008A12B7" w:rsidRPr="009E7141" w:rsidRDefault="008A12B7" w:rsidP="00BE4621">
      <w:pPr>
        <w:rPr>
          <w:rStyle w:val="FontStyle113"/>
          <w:b/>
          <w:noProof/>
          <w:sz w:val="28"/>
          <w:szCs w:val="28"/>
        </w:rPr>
      </w:pPr>
    </w:p>
    <w:p w:rsidR="005910F3" w:rsidRPr="009E7141" w:rsidRDefault="005910F3" w:rsidP="005910F3">
      <w:pPr>
        <w:pStyle w:val="a6"/>
        <w:ind w:firstLine="900"/>
        <w:jc w:val="both"/>
        <w:rPr>
          <w:rFonts w:ascii="Times New Roman" w:eastAsia="MS Mincho" w:hAnsi="Times New Roman" w:cs="Times New Roman"/>
          <w:b/>
          <w:noProof/>
          <w:sz w:val="24"/>
          <w:szCs w:val="24"/>
          <w:lang w:val="bg-BG"/>
        </w:rPr>
      </w:pPr>
      <w:r w:rsidRPr="009E714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Основната цел на Областната здравна карта е да допринесе за </w:t>
      </w:r>
      <w:r w:rsidRPr="009E714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подобряване на здравното състояние на населението в Област Добрич чрез</w:t>
      </w:r>
      <w:r w:rsidRPr="009E7141">
        <w:rPr>
          <w:rFonts w:ascii="Times New Roman" w:eastAsia="MS Mincho" w:hAnsi="Times New Roman" w:cs="Times New Roman"/>
          <w:b/>
          <w:noProof/>
          <w:sz w:val="24"/>
          <w:szCs w:val="24"/>
          <w:lang w:val="bg-BG"/>
        </w:rPr>
        <w:t xml:space="preserve"> гарантирано покриване на потребностите от медицинска помощ, спазвайки принципите на достъпност, своевременност, непрекъснатост, достатъчност и качество на медицинските дейности на отделните нива на институционалната структура на областната здравна мрежа.</w:t>
      </w:r>
    </w:p>
    <w:p w:rsidR="00BE6D3C" w:rsidRPr="009E7141" w:rsidRDefault="00EE357C" w:rsidP="00B94009">
      <w:pPr>
        <w:rPr>
          <w:noProof/>
          <w:sz w:val="24"/>
        </w:rPr>
      </w:pPr>
      <w:r w:rsidRPr="009E7141">
        <w:rPr>
          <w:noProof/>
          <w:sz w:val="24"/>
        </w:rPr>
        <w:t xml:space="preserve"> </w:t>
      </w:r>
    </w:p>
    <w:p w:rsidR="00BE4621" w:rsidRPr="009E7141" w:rsidRDefault="00BE4621" w:rsidP="008A12B7">
      <w:pPr>
        <w:pStyle w:val="a5"/>
        <w:numPr>
          <w:ilvl w:val="0"/>
          <w:numId w:val="10"/>
        </w:numPr>
        <w:jc w:val="both"/>
        <w:rPr>
          <w:b/>
          <w:noProof/>
          <w:sz w:val="24"/>
        </w:rPr>
      </w:pPr>
      <w:r w:rsidRPr="009E7141">
        <w:rPr>
          <w:rStyle w:val="FontStyle113"/>
          <w:b/>
          <w:noProof/>
          <w:sz w:val="24"/>
          <w:szCs w:val="24"/>
        </w:rPr>
        <w:t>Състояние и тенденции в развитието на първичната извънболнична помощ</w:t>
      </w:r>
      <w:r w:rsidRPr="009E7141">
        <w:rPr>
          <w:b/>
          <w:noProof/>
          <w:sz w:val="24"/>
        </w:rPr>
        <w:t xml:space="preserve"> </w:t>
      </w:r>
    </w:p>
    <w:p w:rsidR="008A12B7" w:rsidRPr="009E7141" w:rsidRDefault="008A12B7" w:rsidP="008A12B7">
      <w:pPr>
        <w:pStyle w:val="a5"/>
        <w:ind w:left="420"/>
        <w:jc w:val="both"/>
        <w:rPr>
          <w:b/>
          <w:noProof/>
          <w:sz w:val="24"/>
        </w:rPr>
      </w:pPr>
    </w:p>
    <w:p w:rsidR="00D222FD" w:rsidRPr="009E7141" w:rsidRDefault="00BE4621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Осигуряването на достъп на населението до базисни здравни грижи, осъществявани в първичната медицинска помощ е първостепенна задача на всяка здравeoпазна система. </w:t>
      </w:r>
    </w:p>
    <w:p w:rsidR="00D222FD" w:rsidRPr="009E7141" w:rsidRDefault="00455AB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В област Добрич п</w:t>
      </w:r>
      <w:r w:rsidR="00D222FD" w:rsidRPr="009E7141">
        <w:rPr>
          <w:noProof/>
          <w:sz w:val="24"/>
        </w:rPr>
        <w:t>ървичната извънболнична медицинска помощ се осъществява от 99 индивидуални и 10 групови практики за ПИМП.</w:t>
      </w:r>
    </w:p>
    <w:p w:rsidR="00455AB5" w:rsidRPr="009E7141" w:rsidRDefault="0040027F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Незаети са две </w:t>
      </w:r>
      <w:r w:rsidR="00455AB5" w:rsidRPr="009E7141">
        <w:rPr>
          <w:noProof/>
          <w:sz w:val="24"/>
        </w:rPr>
        <w:t xml:space="preserve">лекарски практики в с. Крапец, община Шабла и с. Белгун, община Каварна. </w:t>
      </w:r>
    </w:p>
    <w:p w:rsidR="00BE4621" w:rsidRPr="009E7141" w:rsidRDefault="00BE4621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При разпределението на лекарските практики  е предвидено средният брой население, обслужвано от 1 лекар да е 1500 души, а средното разстояние между центровете на лекарски</w:t>
      </w:r>
      <w:r w:rsidR="00D222FD" w:rsidRPr="009E7141">
        <w:rPr>
          <w:noProof/>
          <w:sz w:val="24"/>
        </w:rPr>
        <w:t xml:space="preserve">те </w:t>
      </w:r>
      <w:r w:rsidRPr="009E7141">
        <w:rPr>
          <w:noProof/>
          <w:sz w:val="24"/>
        </w:rPr>
        <w:t xml:space="preserve"> практики и най-отдалечените от тях населени места да не надвишава </w:t>
      </w:r>
      <w:smartTag w:uri="urn:schemas-microsoft-com:office:smarttags" w:element="metricconverter">
        <w:smartTagPr>
          <w:attr w:name="ProductID" w:val="20 км"/>
        </w:smartTagPr>
        <w:r w:rsidRPr="009E7141">
          <w:rPr>
            <w:noProof/>
            <w:sz w:val="24"/>
          </w:rPr>
          <w:t>20 км</w:t>
        </w:r>
      </w:smartTag>
      <w:r w:rsidRPr="009E7141">
        <w:rPr>
          <w:noProof/>
          <w:sz w:val="24"/>
        </w:rPr>
        <w:t xml:space="preserve">. </w:t>
      </w:r>
    </w:p>
    <w:p w:rsidR="00BE4621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b/>
          <w:noProof/>
          <w:sz w:val="24"/>
        </w:rPr>
        <w:t>Осигуреността с</w:t>
      </w:r>
      <w:r w:rsidRPr="009E7141">
        <w:rPr>
          <w:noProof/>
          <w:sz w:val="24"/>
        </w:rPr>
        <w:t xml:space="preserve"> </w:t>
      </w:r>
      <w:r w:rsidRPr="009E7141">
        <w:rPr>
          <w:b/>
          <w:noProof/>
          <w:sz w:val="24"/>
        </w:rPr>
        <w:t>ОПЛ и лекари по дентална медицина</w:t>
      </w:r>
      <w:r w:rsidRPr="009E7141">
        <w:rPr>
          <w:noProof/>
          <w:sz w:val="24"/>
        </w:rPr>
        <w:t xml:space="preserve"> на 10 000 души от населението в област Добрич и общините е както следва:</w:t>
      </w:r>
    </w:p>
    <w:p w:rsidR="0040027F" w:rsidRPr="009E7141" w:rsidRDefault="0040027F" w:rsidP="00BE4621">
      <w:pPr>
        <w:contextualSpacing/>
        <w:jc w:val="both"/>
        <w:rPr>
          <w:noProof/>
          <w:sz w:val="24"/>
        </w:rPr>
      </w:pP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b/>
          <w:noProof/>
          <w:sz w:val="24"/>
        </w:rPr>
        <w:t xml:space="preserve">Добрич област  -  7,6    -    </w:t>
      </w:r>
      <w:r w:rsidR="00CA0008" w:rsidRPr="009E7141">
        <w:rPr>
          <w:b/>
          <w:noProof/>
          <w:sz w:val="24"/>
        </w:rPr>
        <w:t xml:space="preserve">7,1                                 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 xml:space="preserve">Добрич град       -  </w:t>
      </w:r>
      <w:r w:rsidR="00CA0008" w:rsidRPr="009E7141">
        <w:rPr>
          <w:noProof/>
          <w:sz w:val="24"/>
        </w:rPr>
        <w:t>7,9</w:t>
      </w:r>
      <w:r w:rsidRPr="009E7141">
        <w:rPr>
          <w:noProof/>
          <w:sz w:val="24"/>
        </w:rPr>
        <w:t xml:space="preserve">    -   </w:t>
      </w:r>
      <w:r w:rsidR="0040027F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10,</w:t>
      </w:r>
      <w:r w:rsidR="00CA0008" w:rsidRPr="009E7141">
        <w:rPr>
          <w:noProof/>
          <w:sz w:val="24"/>
        </w:rPr>
        <w:t>1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 xml:space="preserve">Балчик                -  </w:t>
      </w:r>
      <w:r w:rsidR="00CA0008" w:rsidRPr="009E7141">
        <w:rPr>
          <w:noProof/>
          <w:sz w:val="24"/>
        </w:rPr>
        <w:t>8,4</w:t>
      </w:r>
      <w:r w:rsidRPr="009E7141">
        <w:rPr>
          <w:noProof/>
          <w:sz w:val="24"/>
        </w:rPr>
        <w:t xml:space="preserve">    - </w:t>
      </w:r>
      <w:r w:rsidR="0040027F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 xml:space="preserve">  </w:t>
      </w:r>
      <w:r w:rsidR="00CA0008" w:rsidRPr="009E7141">
        <w:rPr>
          <w:noProof/>
          <w:sz w:val="24"/>
        </w:rPr>
        <w:t>6,4</w:t>
      </w:r>
    </w:p>
    <w:p w:rsidR="00CA0008" w:rsidRPr="009E7141" w:rsidRDefault="00BE4621" w:rsidP="00CA0008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 xml:space="preserve">Каварна              -  </w:t>
      </w:r>
      <w:r w:rsidR="00CA0008" w:rsidRPr="009E7141">
        <w:rPr>
          <w:noProof/>
          <w:sz w:val="24"/>
        </w:rPr>
        <w:t xml:space="preserve">5.4    -   </w:t>
      </w:r>
      <w:r w:rsidR="0040027F" w:rsidRPr="009E7141">
        <w:rPr>
          <w:noProof/>
          <w:sz w:val="24"/>
        </w:rPr>
        <w:t xml:space="preserve"> </w:t>
      </w:r>
      <w:r w:rsidR="00CA0008" w:rsidRPr="009E7141">
        <w:rPr>
          <w:noProof/>
          <w:sz w:val="24"/>
        </w:rPr>
        <w:t>6.0</w:t>
      </w:r>
    </w:p>
    <w:p w:rsidR="00CA0008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 xml:space="preserve">Крушари            -  </w:t>
      </w:r>
      <w:r w:rsidR="00CA0008" w:rsidRPr="009E7141">
        <w:rPr>
          <w:noProof/>
          <w:sz w:val="24"/>
        </w:rPr>
        <w:t xml:space="preserve">9.2    -  </w:t>
      </w:r>
      <w:r w:rsidR="0040027F" w:rsidRPr="009E7141">
        <w:rPr>
          <w:noProof/>
          <w:sz w:val="24"/>
        </w:rPr>
        <w:t xml:space="preserve">  </w:t>
      </w:r>
      <w:r w:rsidR="00CA0008" w:rsidRPr="009E7141">
        <w:rPr>
          <w:noProof/>
          <w:sz w:val="24"/>
        </w:rPr>
        <w:t xml:space="preserve"> 2,3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Тервел                -  6,</w:t>
      </w:r>
      <w:r w:rsidR="00CA0008" w:rsidRPr="009E7141">
        <w:rPr>
          <w:noProof/>
          <w:sz w:val="24"/>
        </w:rPr>
        <w:t>3</w:t>
      </w:r>
      <w:r w:rsidRPr="009E7141">
        <w:rPr>
          <w:noProof/>
          <w:sz w:val="24"/>
        </w:rPr>
        <w:t xml:space="preserve">  </w:t>
      </w:r>
      <w:r w:rsidR="0040027F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 xml:space="preserve"> - </w:t>
      </w:r>
      <w:r w:rsidR="0040027F" w:rsidRPr="009E7141">
        <w:rPr>
          <w:noProof/>
          <w:sz w:val="24"/>
        </w:rPr>
        <w:t xml:space="preserve">  </w:t>
      </w:r>
      <w:r w:rsidRPr="009E7141">
        <w:rPr>
          <w:noProof/>
          <w:sz w:val="24"/>
        </w:rPr>
        <w:t xml:space="preserve"> 3,8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 xml:space="preserve">Шабла            -      8,3    - </w:t>
      </w:r>
      <w:r w:rsidR="0040027F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 xml:space="preserve">  2,1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 xml:space="preserve">Ген. Тошево  -      </w:t>
      </w:r>
      <w:r w:rsidR="00CA0008" w:rsidRPr="009E7141">
        <w:rPr>
          <w:noProof/>
          <w:sz w:val="24"/>
        </w:rPr>
        <w:t>7,7</w:t>
      </w:r>
      <w:r w:rsidRPr="009E7141">
        <w:rPr>
          <w:noProof/>
          <w:sz w:val="24"/>
        </w:rPr>
        <w:t xml:space="preserve">    -   </w:t>
      </w:r>
      <w:r w:rsidR="00CA0008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 xml:space="preserve"> </w:t>
      </w:r>
      <w:r w:rsidR="00CA0008" w:rsidRPr="009E7141">
        <w:rPr>
          <w:noProof/>
          <w:sz w:val="24"/>
        </w:rPr>
        <w:t>5,6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Добричка       -      7,</w:t>
      </w:r>
      <w:r w:rsidR="00CA0008" w:rsidRPr="009E7141">
        <w:rPr>
          <w:noProof/>
          <w:sz w:val="24"/>
        </w:rPr>
        <w:t>0</w:t>
      </w:r>
      <w:r w:rsidRPr="009E7141">
        <w:rPr>
          <w:noProof/>
          <w:sz w:val="24"/>
        </w:rPr>
        <w:t xml:space="preserve">    -    1,9</w:t>
      </w:r>
    </w:p>
    <w:p w:rsidR="00CA306D" w:rsidRPr="009E7141" w:rsidRDefault="00CA306D" w:rsidP="00BE4621">
      <w:pPr>
        <w:ind w:left="360"/>
        <w:contextualSpacing/>
        <w:jc w:val="both"/>
        <w:rPr>
          <w:noProof/>
          <w:sz w:val="24"/>
        </w:rPr>
      </w:pPr>
    </w:p>
    <w:p w:rsidR="004A3087" w:rsidRPr="009E7141" w:rsidRDefault="004A3087" w:rsidP="00BE4621">
      <w:pPr>
        <w:ind w:left="360"/>
        <w:contextualSpacing/>
        <w:jc w:val="both"/>
        <w:rPr>
          <w:noProof/>
          <w:sz w:val="24"/>
        </w:rPr>
      </w:pPr>
    </w:p>
    <w:p w:rsidR="00BE4621" w:rsidRPr="009E7141" w:rsidRDefault="00CA306D" w:rsidP="00BE4621">
      <w:pPr>
        <w:ind w:left="36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lastRenderedPageBreak/>
        <w:t>Брой пациенти</w:t>
      </w:r>
      <w:r w:rsidR="00BE4621" w:rsidRPr="009E7141">
        <w:rPr>
          <w:noProof/>
          <w:sz w:val="24"/>
        </w:rPr>
        <w:t xml:space="preserve">, обслужвани от 1 ОПЛ </w:t>
      </w:r>
    </w:p>
    <w:p w:rsidR="004A3087" w:rsidRPr="009E7141" w:rsidRDefault="004A3087" w:rsidP="00BE4621">
      <w:pPr>
        <w:ind w:left="360"/>
        <w:contextualSpacing/>
        <w:jc w:val="both"/>
        <w:rPr>
          <w:noProof/>
          <w:sz w:val="24"/>
        </w:rPr>
      </w:pP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b/>
          <w:noProof/>
          <w:sz w:val="24"/>
        </w:rPr>
        <w:t>Добрич област  -  1312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Добрич град  –      1226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Балчик            -     1544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Каварна          -     1650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Крушари        -      1097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Тервел            -     1437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Шабла            -     1206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Ген. Тошево  -      1189</w:t>
      </w:r>
    </w:p>
    <w:p w:rsidR="00BE4621" w:rsidRPr="009E7141" w:rsidRDefault="00BE4621" w:rsidP="00BE4621">
      <w:pPr>
        <w:numPr>
          <w:ilvl w:val="0"/>
          <w:numId w:val="1"/>
        </w:numPr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>Добричка       -      1413</w:t>
      </w:r>
    </w:p>
    <w:p w:rsidR="00BE4621" w:rsidRPr="009E7141" w:rsidRDefault="00BE4621" w:rsidP="00BE4621">
      <w:pPr>
        <w:contextualSpacing/>
        <w:rPr>
          <w:noProof/>
          <w:sz w:val="24"/>
        </w:rPr>
      </w:pPr>
    </w:p>
    <w:p w:rsidR="00BE4621" w:rsidRPr="009E7141" w:rsidRDefault="007369AE" w:rsidP="00BE4621">
      <w:pPr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            </w:t>
      </w:r>
      <w:r w:rsidR="00BE4621" w:rsidRPr="009E7141">
        <w:rPr>
          <w:noProof/>
          <w:sz w:val="24"/>
        </w:rPr>
        <w:t>Към 01.</w:t>
      </w:r>
      <w:r w:rsidR="0036680E" w:rsidRPr="009E7141">
        <w:rPr>
          <w:noProof/>
          <w:sz w:val="24"/>
        </w:rPr>
        <w:t>11</w:t>
      </w:r>
      <w:r w:rsidR="00BE4621" w:rsidRPr="009E7141">
        <w:rPr>
          <w:noProof/>
          <w:sz w:val="24"/>
        </w:rPr>
        <w:t xml:space="preserve">.2015 г.  в област Добрич има регистрирани 99 общопрактикуващи лекари в индивидуални практики и 40 в групови практики, от които 59 са с придобита  специалност „Обща медицина” и 40  са зачислени за специализация и задължително трябва да </w:t>
      </w:r>
      <w:r w:rsidR="00523479" w:rsidRPr="009E7141">
        <w:rPr>
          <w:noProof/>
          <w:sz w:val="24"/>
        </w:rPr>
        <w:t xml:space="preserve">я </w:t>
      </w:r>
      <w:r w:rsidR="00BE4621" w:rsidRPr="009E7141">
        <w:rPr>
          <w:noProof/>
          <w:sz w:val="24"/>
        </w:rPr>
        <w:t xml:space="preserve">придобият до юни 2019 година </w:t>
      </w:r>
      <w:r w:rsidR="00523479" w:rsidRPr="009E7141">
        <w:rPr>
          <w:noProof/>
          <w:sz w:val="24"/>
        </w:rPr>
        <w:t>.</w:t>
      </w:r>
      <w:r w:rsidR="00BE4621" w:rsidRPr="009E7141">
        <w:rPr>
          <w:noProof/>
          <w:sz w:val="24"/>
        </w:rPr>
        <w:t>Само със специалност „Вътрешни болести” са 15 от общопрактикуващите</w:t>
      </w:r>
      <w:r w:rsidR="00523479" w:rsidRPr="009E7141">
        <w:rPr>
          <w:noProof/>
          <w:sz w:val="24"/>
        </w:rPr>
        <w:t xml:space="preserve"> лекари</w:t>
      </w:r>
      <w:r w:rsidR="00BE4621" w:rsidRPr="009E7141">
        <w:rPr>
          <w:noProof/>
          <w:sz w:val="24"/>
        </w:rPr>
        <w:t xml:space="preserve">, а само с „Детски болести” са 11 от ОПЛ. До края на 2019 година се очаква лекарите със специалност „Обща медицина” да са около 71 % от всички практикуващи. </w:t>
      </w:r>
    </w:p>
    <w:p w:rsidR="00BE4621" w:rsidRPr="009E7141" w:rsidRDefault="007369AE" w:rsidP="00BE4621">
      <w:pPr>
        <w:contextualSpacing/>
        <w:jc w:val="both"/>
        <w:rPr>
          <w:noProof/>
          <w:sz w:val="24"/>
        </w:rPr>
      </w:pPr>
      <w:r w:rsidRPr="009E7141">
        <w:rPr>
          <w:noProof/>
        </w:rPr>
        <w:t xml:space="preserve">            </w:t>
      </w:r>
      <w:r w:rsidRPr="009E7141">
        <w:rPr>
          <w:noProof/>
          <w:sz w:val="24"/>
        </w:rPr>
        <w:t xml:space="preserve">От направения анализ </w:t>
      </w:r>
      <w:r w:rsidR="0036680E" w:rsidRPr="009E7141">
        <w:rPr>
          <w:noProof/>
          <w:sz w:val="24"/>
        </w:rPr>
        <w:t>на регистрираните</w:t>
      </w:r>
      <w:r w:rsidRPr="009E7141">
        <w:rPr>
          <w:noProof/>
          <w:sz w:val="24"/>
        </w:rPr>
        <w:t xml:space="preserve"> практики в градовете и селата, е видно, че от всички амбулатории за първична извънболнична медицинска помощ  60% са с основен адрес в градовете и 40%  в селата. В този смисъл дори при висока обща осигуреност с ОПЛ, в някои от селата липсват трайно пребиваващи ОПЛ. </w:t>
      </w:r>
      <w:r w:rsidR="007A58F6" w:rsidRPr="009E7141">
        <w:rPr>
          <w:noProof/>
          <w:sz w:val="24"/>
        </w:rPr>
        <w:t>11</w:t>
      </w:r>
      <w:r w:rsidR="002F0895" w:rsidRPr="009E7141">
        <w:rPr>
          <w:noProof/>
          <w:sz w:val="24"/>
        </w:rPr>
        <w:t xml:space="preserve"> от </w:t>
      </w:r>
      <w:r w:rsidRPr="009E7141">
        <w:rPr>
          <w:noProof/>
          <w:sz w:val="24"/>
        </w:rPr>
        <w:t>лекарски</w:t>
      </w:r>
      <w:r w:rsidR="002F0895" w:rsidRPr="009E7141">
        <w:rPr>
          <w:noProof/>
          <w:sz w:val="24"/>
        </w:rPr>
        <w:t>те</w:t>
      </w:r>
      <w:r w:rsidRPr="009E7141">
        <w:rPr>
          <w:noProof/>
          <w:sz w:val="24"/>
        </w:rPr>
        <w:t xml:space="preserve"> практики</w:t>
      </w:r>
      <w:r w:rsidR="002F0895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 xml:space="preserve"> нямат регистриран титуляр, но са </w:t>
      </w:r>
      <w:r w:rsidR="00523479" w:rsidRPr="009E7141">
        <w:rPr>
          <w:noProof/>
          <w:sz w:val="24"/>
        </w:rPr>
        <w:t>от</w:t>
      </w:r>
      <w:r w:rsidRPr="009E7141">
        <w:rPr>
          <w:noProof/>
          <w:sz w:val="24"/>
        </w:rPr>
        <w:t>дадени като втори адрес на общопрактикуващите лекари от съседните населени места. Въпреки, че пациентите по този начин имат избран личен лекар в друго населено място, възникват затруднения при достъпа на пациентите до първична медицинска помощ.</w:t>
      </w:r>
    </w:p>
    <w:p w:rsidR="008149E9" w:rsidRPr="009E7141" w:rsidRDefault="008149E9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Първичната дентална помощ в област Добрич  се осъществява от 98</w:t>
      </w:r>
      <w:r w:rsidR="00290B02" w:rsidRPr="009E7141">
        <w:rPr>
          <w:noProof/>
          <w:sz w:val="24"/>
        </w:rPr>
        <w:t xml:space="preserve"> индивидуални</w:t>
      </w:r>
      <w:r w:rsidRPr="009E7141">
        <w:rPr>
          <w:noProof/>
          <w:sz w:val="24"/>
        </w:rPr>
        <w:t xml:space="preserve"> </w:t>
      </w:r>
      <w:r w:rsidR="00290B02" w:rsidRPr="009E7141">
        <w:rPr>
          <w:noProof/>
          <w:sz w:val="24"/>
        </w:rPr>
        <w:t>и 17</w:t>
      </w:r>
      <w:r w:rsidRPr="009E7141">
        <w:rPr>
          <w:noProof/>
          <w:sz w:val="24"/>
        </w:rPr>
        <w:t xml:space="preserve"> групови практики за ПИМП</w:t>
      </w:r>
      <w:r w:rsidR="00290B02" w:rsidRPr="009E7141">
        <w:rPr>
          <w:noProof/>
          <w:sz w:val="24"/>
        </w:rPr>
        <w:t>- ДМ</w:t>
      </w:r>
      <w:r w:rsidRPr="009E7141">
        <w:rPr>
          <w:noProof/>
          <w:sz w:val="24"/>
        </w:rPr>
        <w:t>.</w:t>
      </w:r>
    </w:p>
    <w:p w:rsidR="001E3868" w:rsidRPr="009E7141" w:rsidRDefault="001E3868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 В </w:t>
      </w:r>
      <w:r w:rsidR="00B80B1A" w:rsidRPr="009E7141">
        <w:rPr>
          <w:noProof/>
          <w:sz w:val="24"/>
        </w:rPr>
        <w:t>областта са</w:t>
      </w:r>
      <w:r w:rsidRPr="009E7141">
        <w:rPr>
          <w:noProof/>
          <w:sz w:val="24"/>
        </w:rPr>
        <w:t xml:space="preserve"> регистрирани 98 лекари по дентална медицина в индивидуални практики и 33 в групови практики по дентална медицина. 100 % от практиките на лекари по дентална медицина са заети, като някои от тях са дадени като втори и следващ адрес на вече регистрирани практики.</w:t>
      </w:r>
    </w:p>
    <w:p w:rsidR="008A12B7" w:rsidRPr="009E7141" w:rsidRDefault="008A12B7" w:rsidP="00BE4621">
      <w:pPr>
        <w:contextualSpacing/>
        <w:jc w:val="both"/>
        <w:rPr>
          <w:noProof/>
          <w:sz w:val="24"/>
        </w:rPr>
      </w:pPr>
    </w:p>
    <w:p w:rsidR="00BE4621" w:rsidRPr="009E7141" w:rsidRDefault="00BE4621" w:rsidP="008A12B7">
      <w:pPr>
        <w:pStyle w:val="Style16"/>
        <w:widowControl/>
        <w:numPr>
          <w:ilvl w:val="0"/>
          <w:numId w:val="9"/>
        </w:numPr>
        <w:tabs>
          <w:tab w:val="left" w:pos="1291"/>
        </w:tabs>
        <w:spacing w:before="10" w:line="274" w:lineRule="exact"/>
        <w:jc w:val="left"/>
        <w:rPr>
          <w:rStyle w:val="FontStyle113"/>
          <w:b/>
          <w:noProof/>
          <w:sz w:val="24"/>
          <w:szCs w:val="24"/>
        </w:rPr>
      </w:pPr>
      <w:r w:rsidRPr="009E7141">
        <w:rPr>
          <w:rStyle w:val="FontStyle113"/>
          <w:b/>
          <w:noProof/>
          <w:sz w:val="24"/>
          <w:szCs w:val="24"/>
        </w:rPr>
        <w:t>Състояние и тенденции в развитието на специализираната извънболнична</w:t>
      </w:r>
      <w:r w:rsidR="008A12B7" w:rsidRPr="009E7141">
        <w:rPr>
          <w:rStyle w:val="FontStyle113"/>
          <w:b/>
          <w:noProof/>
          <w:sz w:val="24"/>
          <w:szCs w:val="24"/>
        </w:rPr>
        <w:t xml:space="preserve"> </w:t>
      </w:r>
      <w:r w:rsidRPr="009E7141">
        <w:rPr>
          <w:rStyle w:val="FontStyle113"/>
          <w:b/>
          <w:noProof/>
          <w:sz w:val="24"/>
          <w:szCs w:val="24"/>
        </w:rPr>
        <w:t>помощ;</w:t>
      </w:r>
    </w:p>
    <w:p w:rsidR="008A12B7" w:rsidRPr="009E7141" w:rsidRDefault="008A12B7" w:rsidP="00E10E42">
      <w:pPr>
        <w:pStyle w:val="Style7"/>
        <w:widowControl/>
        <w:spacing w:before="10" w:line="274" w:lineRule="exact"/>
        <w:ind w:left="360"/>
        <w:jc w:val="left"/>
        <w:rPr>
          <w:rStyle w:val="FontStyle113"/>
          <w:b/>
          <w:noProof/>
          <w:sz w:val="24"/>
          <w:szCs w:val="24"/>
        </w:rPr>
      </w:pPr>
    </w:p>
    <w:p w:rsidR="00BE4621" w:rsidRPr="009E7141" w:rsidRDefault="00BE4621" w:rsidP="00E10E42">
      <w:pPr>
        <w:pStyle w:val="a3"/>
        <w:spacing w:line="228" w:lineRule="auto"/>
        <w:ind w:firstLine="720"/>
        <w:rPr>
          <w:noProof/>
          <w:szCs w:val="24"/>
        </w:rPr>
      </w:pPr>
      <w:r w:rsidRPr="009E7141">
        <w:rPr>
          <w:noProof/>
          <w:szCs w:val="24"/>
        </w:rPr>
        <w:t xml:space="preserve">Специализираната извънболнична помощ е основен интегриращ елемент в системата на здравеопазване, който </w:t>
      </w:r>
      <w:r w:rsidR="0052239A" w:rsidRPr="009E7141">
        <w:rPr>
          <w:noProof/>
          <w:szCs w:val="24"/>
        </w:rPr>
        <w:t xml:space="preserve"> има за цел </w:t>
      </w:r>
      <w:r w:rsidRPr="009E7141">
        <w:rPr>
          <w:noProof/>
          <w:szCs w:val="24"/>
        </w:rPr>
        <w:t>да осигури на населението достъпна и качествена медицинска помощ и да позволи да се намалят потребностите от значително по-скъпата болнична помощ чрез активна профилактика, ранна диагностика и адекватно и ефективно лечение в амбулаторни условия.</w:t>
      </w:r>
    </w:p>
    <w:p w:rsidR="00BE4621" w:rsidRPr="009E7141" w:rsidRDefault="00BE4621" w:rsidP="00E10E42">
      <w:pPr>
        <w:spacing w:line="228" w:lineRule="auto"/>
        <w:ind w:firstLine="720"/>
        <w:jc w:val="both"/>
        <w:rPr>
          <w:rFonts w:ascii="Arial Narrow" w:hAnsi="Arial Narrow"/>
          <w:bCs/>
          <w:noProof/>
          <w:color w:val="00B050"/>
          <w:sz w:val="24"/>
        </w:rPr>
      </w:pPr>
      <w:r w:rsidRPr="009E7141">
        <w:rPr>
          <w:noProof/>
          <w:sz w:val="24"/>
        </w:rPr>
        <w:t xml:space="preserve">Въпреки наличието на значителен брой лекари, работещи в специализираната извънболнична медицинска помощ и непрекъснато увеличаващият се брой на оказваните здравни услуги, в системата съществуват редица проблеми, свързани основно с достъпа и качеството на оказваните здравни услуги – нарастване на броя на хоспитализациите, на случаите с късна диагностика и настъпващи усложнения и в крайна сметка влошаване на здравния статус на населението. </w:t>
      </w:r>
    </w:p>
    <w:p w:rsidR="00BE4621" w:rsidRPr="009E7141" w:rsidRDefault="00BE4621" w:rsidP="00E10E42">
      <w:pPr>
        <w:ind w:firstLine="720"/>
        <w:contextualSpacing/>
        <w:jc w:val="both"/>
        <w:rPr>
          <w:bCs/>
          <w:noProof/>
          <w:sz w:val="24"/>
        </w:rPr>
      </w:pPr>
      <w:r w:rsidRPr="009E7141">
        <w:rPr>
          <w:bCs/>
          <w:noProof/>
          <w:sz w:val="24"/>
        </w:rPr>
        <w:t>Специализираната извънболнична медицинска помощ в област</w:t>
      </w:r>
      <w:r w:rsidR="0052239A" w:rsidRPr="009E7141">
        <w:rPr>
          <w:bCs/>
          <w:noProof/>
          <w:sz w:val="24"/>
        </w:rPr>
        <w:t xml:space="preserve"> Добрич</w:t>
      </w:r>
      <w:r w:rsidRPr="009E7141">
        <w:rPr>
          <w:bCs/>
          <w:noProof/>
          <w:sz w:val="24"/>
        </w:rPr>
        <w:t xml:space="preserve">  се осъществява от 1</w:t>
      </w:r>
      <w:r w:rsidR="00E50AE6" w:rsidRPr="009E7141">
        <w:rPr>
          <w:bCs/>
          <w:noProof/>
          <w:sz w:val="24"/>
        </w:rPr>
        <w:t>29</w:t>
      </w:r>
      <w:r w:rsidRPr="009E7141">
        <w:rPr>
          <w:bCs/>
          <w:noProof/>
          <w:sz w:val="24"/>
        </w:rPr>
        <w:t xml:space="preserve"> лечебни заведения, от които:  </w:t>
      </w:r>
    </w:p>
    <w:p w:rsidR="00BE4621" w:rsidRPr="009E7141" w:rsidRDefault="00BE4621" w:rsidP="00E10E42">
      <w:pPr>
        <w:ind w:firstLine="720"/>
        <w:contextualSpacing/>
        <w:rPr>
          <w:bCs/>
          <w:noProof/>
          <w:sz w:val="24"/>
        </w:rPr>
      </w:pPr>
      <w:r w:rsidRPr="009E7141">
        <w:rPr>
          <w:bCs/>
          <w:noProof/>
          <w:sz w:val="24"/>
        </w:rPr>
        <w:t xml:space="preserve"> - 2 диагностично-консултативни центъра;</w:t>
      </w:r>
    </w:p>
    <w:p w:rsidR="00BE4621" w:rsidRPr="009E7141" w:rsidRDefault="00BE4621" w:rsidP="00E10E42">
      <w:pPr>
        <w:ind w:firstLine="720"/>
        <w:contextualSpacing/>
        <w:rPr>
          <w:bCs/>
          <w:noProof/>
          <w:sz w:val="24"/>
        </w:rPr>
      </w:pPr>
      <w:r w:rsidRPr="009E7141">
        <w:rPr>
          <w:bCs/>
          <w:noProof/>
          <w:sz w:val="24"/>
        </w:rPr>
        <w:lastRenderedPageBreak/>
        <w:t xml:space="preserve"> - 13 медицински центъра;</w:t>
      </w:r>
    </w:p>
    <w:p w:rsidR="00BE4621" w:rsidRPr="009E7141" w:rsidRDefault="00E10E42" w:rsidP="00E10E42">
      <w:pPr>
        <w:ind w:firstLine="720"/>
        <w:contextualSpacing/>
        <w:rPr>
          <w:bCs/>
          <w:noProof/>
          <w:sz w:val="24"/>
        </w:rPr>
      </w:pPr>
      <w:r w:rsidRPr="009E7141">
        <w:rPr>
          <w:bCs/>
          <w:noProof/>
          <w:sz w:val="24"/>
        </w:rPr>
        <w:t xml:space="preserve"> </w:t>
      </w:r>
      <w:r w:rsidR="00BE4621" w:rsidRPr="009E7141">
        <w:rPr>
          <w:bCs/>
          <w:noProof/>
          <w:sz w:val="24"/>
        </w:rPr>
        <w:t>- 88 индивидуални и 2 групови практики  на лекари-специалисти;</w:t>
      </w:r>
    </w:p>
    <w:p w:rsidR="00BE4621" w:rsidRPr="009E7141" w:rsidRDefault="00BE4621" w:rsidP="00E10E42">
      <w:pPr>
        <w:ind w:firstLine="720"/>
        <w:contextualSpacing/>
        <w:rPr>
          <w:bCs/>
          <w:noProof/>
          <w:sz w:val="24"/>
        </w:rPr>
      </w:pPr>
      <w:r w:rsidRPr="009E7141">
        <w:rPr>
          <w:bCs/>
          <w:noProof/>
          <w:sz w:val="24"/>
        </w:rPr>
        <w:t xml:space="preserve"> - 1 дентален център ;</w:t>
      </w:r>
    </w:p>
    <w:p w:rsidR="00BE4621" w:rsidRPr="009E7141" w:rsidRDefault="00BE4621" w:rsidP="00E10E42">
      <w:pPr>
        <w:ind w:firstLine="720"/>
        <w:contextualSpacing/>
        <w:rPr>
          <w:bCs/>
          <w:noProof/>
          <w:sz w:val="24"/>
        </w:rPr>
      </w:pPr>
      <w:r w:rsidRPr="009E7141">
        <w:rPr>
          <w:bCs/>
          <w:noProof/>
          <w:sz w:val="24"/>
        </w:rPr>
        <w:t xml:space="preserve"> - 1 индивидуална специализиран</w:t>
      </w:r>
      <w:r w:rsidR="00191F01" w:rsidRPr="009E7141">
        <w:rPr>
          <w:bCs/>
          <w:noProof/>
          <w:sz w:val="24"/>
        </w:rPr>
        <w:t>а</w:t>
      </w:r>
      <w:r w:rsidRPr="009E7141">
        <w:rPr>
          <w:bCs/>
          <w:noProof/>
          <w:sz w:val="24"/>
        </w:rPr>
        <w:t xml:space="preserve"> практики по дентална медицина;</w:t>
      </w:r>
    </w:p>
    <w:p w:rsidR="00BE4621" w:rsidRPr="009E7141" w:rsidRDefault="00BE4621" w:rsidP="00BE4621">
      <w:pPr>
        <w:contextualSpacing/>
        <w:rPr>
          <w:bCs/>
          <w:noProof/>
          <w:sz w:val="24"/>
        </w:rPr>
      </w:pPr>
      <w:r w:rsidRPr="009E7141">
        <w:rPr>
          <w:bCs/>
          <w:noProof/>
          <w:sz w:val="24"/>
        </w:rPr>
        <w:t xml:space="preserve"> </w:t>
      </w:r>
      <w:r w:rsidR="00E10E42" w:rsidRPr="009E7141">
        <w:rPr>
          <w:bCs/>
          <w:noProof/>
          <w:sz w:val="24"/>
        </w:rPr>
        <w:tab/>
        <w:t xml:space="preserve"> </w:t>
      </w:r>
      <w:r w:rsidRPr="009E7141">
        <w:rPr>
          <w:bCs/>
          <w:noProof/>
          <w:sz w:val="24"/>
        </w:rPr>
        <w:t xml:space="preserve">- </w:t>
      </w:r>
      <w:r w:rsidR="00E10E42" w:rsidRPr="009E7141">
        <w:rPr>
          <w:bCs/>
          <w:noProof/>
          <w:sz w:val="24"/>
        </w:rPr>
        <w:t xml:space="preserve"> </w:t>
      </w:r>
      <w:r w:rsidRPr="009E7141">
        <w:rPr>
          <w:bCs/>
          <w:noProof/>
          <w:sz w:val="24"/>
        </w:rPr>
        <w:t>4 МДЛ;</w:t>
      </w:r>
    </w:p>
    <w:p w:rsidR="00BE4621" w:rsidRPr="009E7141" w:rsidRDefault="00BE4621" w:rsidP="00BE4621">
      <w:pPr>
        <w:contextualSpacing/>
        <w:rPr>
          <w:noProof/>
          <w:sz w:val="24"/>
        </w:rPr>
      </w:pPr>
      <w:r w:rsidRPr="009E7141">
        <w:rPr>
          <w:bCs/>
          <w:noProof/>
          <w:sz w:val="24"/>
        </w:rPr>
        <w:t xml:space="preserve"> </w:t>
      </w:r>
      <w:r w:rsidR="00E10E42" w:rsidRPr="009E7141">
        <w:rPr>
          <w:bCs/>
          <w:noProof/>
          <w:sz w:val="24"/>
        </w:rPr>
        <w:tab/>
        <w:t xml:space="preserve"> </w:t>
      </w:r>
      <w:r w:rsidRPr="009E7141">
        <w:rPr>
          <w:bCs/>
          <w:noProof/>
          <w:sz w:val="24"/>
        </w:rPr>
        <w:t xml:space="preserve">- </w:t>
      </w:r>
      <w:r w:rsidR="00E10E42" w:rsidRPr="009E7141">
        <w:rPr>
          <w:bCs/>
          <w:noProof/>
          <w:sz w:val="24"/>
        </w:rPr>
        <w:t xml:space="preserve"> </w:t>
      </w:r>
      <w:r w:rsidRPr="009E7141">
        <w:rPr>
          <w:bCs/>
          <w:noProof/>
          <w:sz w:val="24"/>
        </w:rPr>
        <w:t>1</w:t>
      </w:r>
      <w:r w:rsidR="00E50AE6" w:rsidRPr="009E7141">
        <w:rPr>
          <w:bCs/>
          <w:noProof/>
          <w:sz w:val="24"/>
        </w:rPr>
        <w:t>8</w:t>
      </w:r>
      <w:r w:rsidRPr="009E7141">
        <w:rPr>
          <w:bCs/>
          <w:noProof/>
          <w:sz w:val="24"/>
        </w:rPr>
        <w:t xml:space="preserve"> МТЛ</w:t>
      </w:r>
    </w:p>
    <w:p w:rsidR="00BE4621" w:rsidRPr="009E7141" w:rsidRDefault="00BE4621" w:rsidP="00E10E42">
      <w:pPr>
        <w:ind w:firstLine="720"/>
        <w:contextualSpacing/>
        <w:jc w:val="both"/>
        <w:rPr>
          <w:noProof/>
          <w:color w:val="000000"/>
          <w:sz w:val="24"/>
        </w:rPr>
      </w:pPr>
      <w:r w:rsidRPr="009E7141">
        <w:rPr>
          <w:noProof/>
          <w:sz w:val="24"/>
        </w:rPr>
        <w:t>Осигуреността с лекари в извънболничната специализирана медицинска помощ е 12,</w:t>
      </w:r>
      <w:r w:rsidR="00387270" w:rsidRPr="009E7141">
        <w:rPr>
          <w:noProof/>
          <w:sz w:val="24"/>
        </w:rPr>
        <w:t>8</w:t>
      </w:r>
      <w:r w:rsidRPr="009E7141">
        <w:rPr>
          <w:noProof/>
          <w:sz w:val="24"/>
        </w:rPr>
        <w:t xml:space="preserve"> на 10 000 души от населението.</w:t>
      </w:r>
      <w:r w:rsidRPr="009E7141">
        <w:rPr>
          <w:noProof/>
        </w:rPr>
        <w:t xml:space="preserve"> </w:t>
      </w:r>
      <w:r w:rsidR="00AA220D" w:rsidRPr="009E7141">
        <w:rPr>
          <w:noProof/>
          <w:sz w:val="24"/>
        </w:rPr>
        <w:t>О</w:t>
      </w:r>
      <w:r w:rsidRPr="009E7141">
        <w:rPr>
          <w:noProof/>
          <w:sz w:val="24"/>
        </w:rPr>
        <w:t>т</w:t>
      </w:r>
      <w:r w:rsidRPr="009E7141">
        <w:rPr>
          <w:noProof/>
          <w:color w:val="000000"/>
          <w:sz w:val="24"/>
        </w:rPr>
        <w:t xml:space="preserve"> 88 ИПСИМП само 34 са с титуляри, работещи само в извънболничната помощ – другите са предимно</w:t>
      </w:r>
      <w:r w:rsidR="00AA220D" w:rsidRPr="009E7141">
        <w:rPr>
          <w:noProof/>
          <w:color w:val="000000"/>
          <w:sz w:val="24"/>
        </w:rPr>
        <w:t xml:space="preserve"> от</w:t>
      </w:r>
      <w:r w:rsidRPr="009E7141">
        <w:rPr>
          <w:noProof/>
          <w:color w:val="000000"/>
          <w:sz w:val="24"/>
        </w:rPr>
        <w:t xml:space="preserve"> болнични специалисти.</w:t>
      </w:r>
    </w:p>
    <w:p w:rsidR="00BE4621" w:rsidRPr="009E7141" w:rsidRDefault="00BE4621" w:rsidP="00BE4621">
      <w:pPr>
        <w:contextualSpacing/>
        <w:jc w:val="both"/>
        <w:rPr>
          <w:noProof/>
          <w:color w:val="FF0000"/>
          <w:sz w:val="24"/>
        </w:rPr>
      </w:pPr>
    </w:p>
    <w:p w:rsidR="00BE4621" w:rsidRPr="009E7141" w:rsidRDefault="00BE4621" w:rsidP="00BE4621">
      <w:pPr>
        <w:contextualSpacing/>
        <w:jc w:val="center"/>
        <w:rPr>
          <w:b/>
          <w:bCs/>
          <w:noProof/>
          <w:sz w:val="24"/>
        </w:rPr>
      </w:pPr>
      <w:r w:rsidRPr="009E7141">
        <w:rPr>
          <w:b/>
          <w:bCs/>
          <w:noProof/>
          <w:sz w:val="24"/>
        </w:rPr>
        <w:t>Лечебни заведения за специализирана извънболнична помощ по общини</w:t>
      </w:r>
    </w:p>
    <w:p w:rsidR="00BE4621" w:rsidRPr="009E7141" w:rsidRDefault="00BE4621" w:rsidP="00BE4621">
      <w:pPr>
        <w:contextualSpacing/>
        <w:jc w:val="center"/>
        <w:rPr>
          <w:b/>
          <w:bCs/>
          <w:noProof/>
          <w:sz w:val="24"/>
        </w:rPr>
      </w:pP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7"/>
        <w:gridCol w:w="1110"/>
        <w:gridCol w:w="1060"/>
        <w:gridCol w:w="1075"/>
        <w:gridCol w:w="1026"/>
        <w:gridCol w:w="603"/>
        <w:gridCol w:w="767"/>
        <w:gridCol w:w="714"/>
        <w:gridCol w:w="756"/>
        <w:gridCol w:w="739"/>
        <w:gridCol w:w="1055"/>
      </w:tblGrid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община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ИПСМП</w:t>
            </w: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ИПСДП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ГПСМП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ГПСДП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МЦ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МДЦ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ДКЦ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МДЛ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МТЛ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хосписи</w:t>
            </w:r>
          </w:p>
        </w:tc>
      </w:tr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Добрич-гр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67</w:t>
            </w: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2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4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4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E50AE6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15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Добричка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Балчик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15</w:t>
            </w: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5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Каварна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3</w:t>
            </w: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2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Г. Тошево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</w:t>
            </w: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Тервел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2</w:t>
            </w: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1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Крушари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  <w:r w:rsidRPr="009E7141">
              <w:rPr>
                <w:bCs/>
                <w:noProof/>
                <w:sz w:val="20"/>
              </w:rPr>
              <w:t>Шабла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</w:tr>
    </w:tbl>
    <w:p w:rsidR="00E10E42" w:rsidRPr="009E7141" w:rsidRDefault="00E10E42" w:rsidP="00BE4621">
      <w:pPr>
        <w:contextualSpacing/>
        <w:jc w:val="both"/>
        <w:rPr>
          <w:bCs/>
          <w:noProof/>
          <w:sz w:val="24"/>
        </w:rPr>
      </w:pPr>
    </w:p>
    <w:p w:rsidR="00BE4621" w:rsidRPr="009E7141" w:rsidRDefault="00BE4621" w:rsidP="00E10E42">
      <w:pPr>
        <w:contextualSpacing/>
        <w:jc w:val="both"/>
        <w:rPr>
          <w:bCs/>
          <w:noProof/>
          <w:sz w:val="24"/>
        </w:rPr>
      </w:pPr>
      <w:r w:rsidRPr="009E7141">
        <w:rPr>
          <w:bCs/>
          <w:noProof/>
          <w:sz w:val="24"/>
        </w:rPr>
        <w:t xml:space="preserve">На областно ниво е налице неравномерно разпределение на лечебните заведения за специализирана извънболнична помощ на територията на отделните общини. Функциониращите ДКЦ, МЦ  и лаборатории са предимно в областния  град, както и значителна част от практиките на лекарите-специалисти. Това затруднява достъпа на пациентите от по-малките общини до специализирани изследвания и консултации. </w:t>
      </w:r>
    </w:p>
    <w:p w:rsidR="00BE4621" w:rsidRPr="009E7141" w:rsidRDefault="00BE4621" w:rsidP="00E10E42">
      <w:pPr>
        <w:contextualSpacing/>
        <w:jc w:val="both"/>
        <w:rPr>
          <w:noProof/>
          <w:sz w:val="24"/>
        </w:rPr>
      </w:pPr>
    </w:p>
    <w:p w:rsidR="008A12B7" w:rsidRPr="009E7141" w:rsidRDefault="00BE4621" w:rsidP="00B80B1A">
      <w:pPr>
        <w:pStyle w:val="a5"/>
        <w:numPr>
          <w:ilvl w:val="1"/>
          <w:numId w:val="21"/>
        </w:numPr>
        <w:jc w:val="both"/>
        <w:rPr>
          <w:rStyle w:val="FontStyle113"/>
          <w:noProof/>
          <w:sz w:val="24"/>
          <w:szCs w:val="24"/>
        </w:rPr>
      </w:pPr>
      <w:r w:rsidRPr="009E7141">
        <w:rPr>
          <w:rStyle w:val="FontStyle113"/>
          <w:b/>
          <w:noProof/>
          <w:sz w:val="24"/>
          <w:szCs w:val="24"/>
        </w:rPr>
        <w:t>Състояние и тенденции в развитието на болничната медицинска помощ</w:t>
      </w:r>
    </w:p>
    <w:p w:rsidR="008A12B7" w:rsidRPr="009E7141" w:rsidRDefault="008A12B7" w:rsidP="00325F93">
      <w:pPr>
        <w:pStyle w:val="a5"/>
        <w:ind w:left="1080"/>
        <w:jc w:val="both"/>
        <w:rPr>
          <w:rStyle w:val="FontStyle113"/>
          <w:noProof/>
          <w:sz w:val="24"/>
          <w:szCs w:val="24"/>
        </w:rPr>
      </w:pPr>
    </w:p>
    <w:p w:rsidR="00BE4621" w:rsidRPr="009E7141" w:rsidRDefault="00BE4621" w:rsidP="00325F93">
      <w:pPr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– </w:t>
      </w:r>
      <w:r w:rsidR="00991CE6" w:rsidRPr="009E7141">
        <w:rPr>
          <w:noProof/>
          <w:sz w:val="24"/>
        </w:rPr>
        <w:t>О</w:t>
      </w:r>
      <w:r w:rsidRPr="009E7141">
        <w:rPr>
          <w:noProof/>
          <w:sz w:val="24"/>
        </w:rPr>
        <w:t>сигурява се от 3 многопрофилни болници за активно лечение, 1 специализирана болница за рехабилитация, 1 център за психично здраве и 1 държавна психиатрична болница.</w:t>
      </w:r>
    </w:p>
    <w:p w:rsidR="00BE4621" w:rsidRPr="009E7141" w:rsidRDefault="00BE4621" w:rsidP="00325F93">
      <w:pPr>
        <w:contextualSpacing/>
        <w:jc w:val="both"/>
        <w:rPr>
          <w:noProof/>
          <w:sz w:val="24"/>
        </w:rPr>
      </w:pPr>
    </w:p>
    <w:p w:rsidR="00BE4621" w:rsidRPr="009E7141" w:rsidRDefault="00BE4621" w:rsidP="00BE4621">
      <w:pPr>
        <w:ind w:left="360"/>
        <w:contextualSpacing/>
        <w:jc w:val="center"/>
        <w:rPr>
          <w:b/>
          <w:bCs/>
          <w:noProof/>
          <w:sz w:val="24"/>
        </w:rPr>
      </w:pPr>
      <w:r w:rsidRPr="009E7141">
        <w:rPr>
          <w:b/>
          <w:bCs/>
          <w:noProof/>
          <w:sz w:val="24"/>
        </w:rPr>
        <w:t>Дейност на стационарите на болничните лечебни заведения</w:t>
      </w:r>
    </w:p>
    <w:p w:rsidR="00BE4621" w:rsidRPr="009E7141" w:rsidRDefault="00BE4621" w:rsidP="00BE4621">
      <w:pPr>
        <w:ind w:left="360"/>
        <w:contextualSpacing/>
        <w:jc w:val="center"/>
        <w:rPr>
          <w:noProof/>
          <w:sz w:val="12"/>
          <w:szCs w:val="12"/>
        </w:rPr>
      </w:pPr>
    </w:p>
    <w:tbl>
      <w:tblPr>
        <w:tblW w:w="108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864"/>
        <w:gridCol w:w="936"/>
        <w:gridCol w:w="720"/>
        <w:gridCol w:w="900"/>
        <w:gridCol w:w="900"/>
        <w:gridCol w:w="900"/>
        <w:gridCol w:w="900"/>
        <w:gridCol w:w="720"/>
        <w:gridCol w:w="900"/>
        <w:gridCol w:w="820"/>
      </w:tblGrid>
      <w:tr w:rsidR="00BE4621" w:rsidRPr="009E7141" w:rsidTr="00D8238B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Видове заведения</w:t>
            </w:r>
          </w:p>
        </w:tc>
        <w:tc>
          <w:tcPr>
            <w:tcW w:w="8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b/>
                <w:noProof/>
                <w:sz w:val="20"/>
              </w:rPr>
            </w:pPr>
            <w:r w:rsidRPr="009E7141">
              <w:rPr>
                <w:b/>
                <w:noProof/>
                <w:sz w:val="20"/>
              </w:rPr>
              <w:t>2014 г.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noProof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Легла (средногодишен брой 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Постъпили болни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Изписани болни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Умрели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Преминали болни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Проведе-ни леглодни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Използваемост на леглата (дни)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Оборот на леглата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Среден престой на 1 лекуван болен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Летали-тет (%)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Общо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795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29347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28724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29671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217863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7,34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1,92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Многопрофилни болници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24720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24889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133341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5,36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2,27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МБАЛ-Добрич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353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19473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18914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19609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102891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5,25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2,67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МБАЛ-Балчик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88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3038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17127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5,61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0,69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МБАЛ-Каварна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69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13323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0,87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Специализирани болници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СБР-Тузлата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69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16568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7,29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ДПБ-Карвуна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90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26542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77,61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0,72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lastRenderedPageBreak/>
              <w:t>ЦПЗ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ЦПЗ-Добрич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126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2092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2166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41412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329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19,12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  <w:r w:rsidRPr="009E7141">
              <w:rPr>
                <w:noProof/>
                <w:sz w:val="20"/>
              </w:rPr>
              <w:t>0,10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noProof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noProof/>
                <w:sz w:val="20"/>
              </w:rPr>
            </w:pP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Публични заведения-общо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795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29347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28724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29671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217863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7,34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1,92</w:t>
            </w:r>
          </w:p>
        </w:tc>
      </w:tr>
      <w:tr w:rsidR="00BE4621" w:rsidRPr="009E7141" w:rsidTr="00D8238B">
        <w:trPr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0"/>
              </w:rPr>
            </w:pPr>
            <w:r w:rsidRPr="009E7141">
              <w:rPr>
                <w:b/>
                <w:bCs/>
                <w:noProof/>
                <w:sz w:val="20"/>
              </w:rPr>
              <w:t>Частни лечебни заведения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jc w:val="right"/>
              <w:rPr>
                <w:b/>
                <w:bCs/>
                <w:noProof/>
                <w:sz w:val="20"/>
              </w:rPr>
            </w:pPr>
          </w:p>
        </w:tc>
      </w:tr>
    </w:tbl>
    <w:p w:rsidR="00BE4621" w:rsidRPr="009E7141" w:rsidRDefault="00BE4621" w:rsidP="00E10E42">
      <w:pPr>
        <w:contextualSpacing/>
        <w:jc w:val="both"/>
        <w:rPr>
          <w:noProof/>
          <w:sz w:val="24"/>
        </w:rPr>
      </w:pPr>
    </w:p>
    <w:p w:rsidR="00BE4621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През 2014 г. през стационарите на лечебните заведения за болнична помощ в област Добрич са преминали 29671 болни, което е съпоставимо с   преминалите болни през 2013 г., когато те са били 29263. </w:t>
      </w:r>
    </w:p>
    <w:p w:rsidR="00BE4621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Показателят за хоспитализация е  16,1 % (т.е. около 16  хоспитализации на 100 души от населението).  </w:t>
      </w:r>
    </w:p>
    <w:p w:rsidR="00BE4621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Броят на проведените леглодни през 2014 г. е 217863 и е увеличен с 2,5% спрямо 2013г. - 212397.  </w:t>
      </w:r>
    </w:p>
    <w:p w:rsidR="00BE4621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>Показателят „среден престой на болен”, който през 2013 г. е 7,26 дни бележи леко завишение на 7,34 дни през 2014 г.</w:t>
      </w:r>
    </w:p>
    <w:p w:rsidR="00BE4621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>Използваемостта на леглата е сравнително добра</w:t>
      </w:r>
      <w:r w:rsidRPr="009E7141">
        <w:rPr>
          <w:noProof/>
          <w:color w:val="FF0000"/>
          <w:sz w:val="24"/>
        </w:rPr>
        <w:t xml:space="preserve"> </w:t>
      </w:r>
      <w:r w:rsidRPr="009E7141">
        <w:rPr>
          <w:noProof/>
          <w:sz w:val="24"/>
        </w:rPr>
        <w:t>– 274 дни / 75,06  %/ . Поради по-високия среден престой на болен -7,34 оборотът на леглата в публичните заведения е 37 преминали болни на едно легло.</w:t>
      </w:r>
    </w:p>
    <w:p w:rsidR="008F6184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>МБАЛ Добрич осигурява здравното обслужване на населението на осемте общини на област Добрич, което към 31.12.2014 г. е 182 808 души. Болницата разполага с 320 легла, структурирани в 18 отделения с второ и трето ниво на компетентност.</w:t>
      </w:r>
    </w:p>
    <w:p w:rsidR="00620F55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 МБАЛ Балчик и МБАЛ Каварна осигуряват медицинското обслужване на община Балчик, община Каварна, община Шабла  и прилежащите територии на черноморския бряг. Болницата в Балчик разполага с </w:t>
      </w:r>
      <w:r w:rsidR="00737E55" w:rsidRPr="009E7141">
        <w:rPr>
          <w:noProof/>
          <w:sz w:val="24"/>
        </w:rPr>
        <w:t>92</w:t>
      </w:r>
      <w:r w:rsidRPr="009E7141">
        <w:rPr>
          <w:noProof/>
          <w:sz w:val="24"/>
        </w:rPr>
        <w:t xml:space="preserve"> легла</w:t>
      </w:r>
      <w:r w:rsidR="008F6184" w:rsidRPr="009E7141">
        <w:rPr>
          <w:noProof/>
          <w:sz w:val="24"/>
        </w:rPr>
        <w:t>,структурирани в 6 отделения</w:t>
      </w:r>
      <w:r w:rsidRPr="009E7141">
        <w:rPr>
          <w:noProof/>
          <w:sz w:val="24"/>
        </w:rPr>
        <w:t xml:space="preserve"> и структури по клинична лаборатория и образна диагностика от първо и второ ниво на компетентност. МБАЛ Каварна разполага с 60 легла</w:t>
      </w:r>
      <w:r w:rsidR="008F6184" w:rsidRPr="009E7141">
        <w:rPr>
          <w:noProof/>
          <w:sz w:val="24"/>
        </w:rPr>
        <w:t>,</w:t>
      </w:r>
      <w:r w:rsidRPr="009E7141">
        <w:rPr>
          <w:noProof/>
          <w:sz w:val="24"/>
        </w:rPr>
        <w:t xml:space="preserve"> структурирани в 5 отделения и структури по клинична лаборатория и образна диагностика от първо ниво на компетентност.</w:t>
      </w:r>
    </w:p>
    <w:p w:rsidR="00620F55" w:rsidRPr="009E7141" w:rsidRDefault="00620F5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Лечебните заведения за болнична помощ в област Добрич извъ</w:t>
      </w:r>
      <w:r w:rsidRPr="009E7141">
        <w:rPr>
          <w:noProof/>
          <w:sz w:val="24"/>
          <w:shd w:val="clear" w:color="auto" w:fill="FEFEFE"/>
        </w:rPr>
        <w:t>ршват  дейността си в съответствие с утвърдените медицински стандарти</w:t>
      </w:r>
      <w:r w:rsidR="008F6184" w:rsidRPr="009E7141">
        <w:rPr>
          <w:noProof/>
          <w:sz w:val="24"/>
          <w:shd w:val="clear" w:color="auto" w:fill="FEFEFE"/>
        </w:rPr>
        <w:t>,</w:t>
      </w:r>
      <w:r w:rsidRPr="009E7141">
        <w:rPr>
          <w:noProof/>
          <w:sz w:val="24"/>
          <w:shd w:val="clear" w:color="auto" w:fill="FEFEFE"/>
        </w:rPr>
        <w:t>с медицински специалисти</w:t>
      </w:r>
      <w:r w:rsidR="008F6184" w:rsidRPr="009E7141">
        <w:rPr>
          <w:noProof/>
          <w:sz w:val="24"/>
          <w:shd w:val="clear" w:color="auto" w:fill="FEFEFE"/>
        </w:rPr>
        <w:t>,</w:t>
      </w:r>
      <w:r w:rsidRPr="009E7141">
        <w:rPr>
          <w:noProof/>
          <w:sz w:val="24"/>
          <w:shd w:val="clear" w:color="auto" w:fill="FEFEFE"/>
        </w:rPr>
        <w:t xml:space="preserve"> работещи на основен трудов договор и медицинска апаратура и техника на територията на съответното лечебно заведение. Те осигуряват непрекъснато 24-часово изпълнение на лечебната дейност по медицински специалности</w:t>
      </w:r>
      <w:r w:rsidR="008F6184" w:rsidRPr="009E7141">
        <w:rPr>
          <w:noProof/>
          <w:sz w:val="24"/>
          <w:shd w:val="clear" w:color="auto" w:fill="FEFEFE"/>
        </w:rPr>
        <w:t>,</w:t>
      </w:r>
      <w:r w:rsidRPr="009E7141">
        <w:rPr>
          <w:noProof/>
          <w:sz w:val="24"/>
          <w:shd w:val="clear" w:color="auto" w:fill="FEFEFE"/>
        </w:rPr>
        <w:t xml:space="preserve"> съгласно </w:t>
      </w:r>
      <w:r w:rsidR="008F6184" w:rsidRPr="009E7141">
        <w:rPr>
          <w:noProof/>
          <w:sz w:val="24"/>
          <w:shd w:val="clear" w:color="auto" w:fill="FEFEFE"/>
        </w:rPr>
        <w:t xml:space="preserve">издадените им </w:t>
      </w:r>
      <w:r w:rsidRPr="009E7141">
        <w:rPr>
          <w:noProof/>
          <w:sz w:val="24"/>
          <w:shd w:val="clear" w:color="auto" w:fill="FEFEFE"/>
        </w:rPr>
        <w:t>разрешенията по чл.47,включително и на медицинска помощ при спешни състояния.</w:t>
      </w:r>
    </w:p>
    <w:p w:rsidR="008F6184" w:rsidRPr="009E7141" w:rsidRDefault="00BE4621" w:rsidP="00E10E42">
      <w:pPr>
        <w:ind w:left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 В област Добрич функционират един ЦПЗ, една ДПБ и една СБР.</w:t>
      </w:r>
    </w:p>
    <w:p w:rsidR="00BE4621" w:rsidRPr="009E7141" w:rsidRDefault="00BE4621" w:rsidP="00E10E42">
      <w:pPr>
        <w:ind w:firstLine="720"/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 Наличната в областта мрежа от болнични лечебни заведения е в състояние да задоволи </w:t>
      </w:r>
      <w:r w:rsidR="00991CE6" w:rsidRPr="009E7141">
        <w:rPr>
          <w:noProof/>
          <w:sz w:val="24"/>
        </w:rPr>
        <w:t xml:space="preserve">основните </w:t>
      </w:r>
      <w:r w:rsidRPr="009E7141">
        <w:rPr>
          <w:noProof/>
          <w:sz w:val="24"/>
        </w:rPr>
        <w:t xml:space="preserve"> потребности на населението от болнична помощ. </w:t>
      </w:r>
    </w:p>
    <w:p w:rsidR="00620F55" w:rsidRPr="009E7141" w:rsidRDefault="00620F55" w:rsidP="00620F55">
      <w:pPr>
        <w:contextualSpacing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 </w:t>
      </w:r>
      <w:r w:rsidR="00E10E42" w:rsidRPr="009E7141">
        <w:rPr>
          <w:noProof/>
          <w:sz w:val="24"/>
        </w:rPr>
        <w:tab/>
      </w:r>
      <w:r w:rsidRPr="009E7141">
        <w:rPr>
          <w:noProof/>
          <w:sz w:val="24"/>
        </w:rPr>
        <w:t>Центъра за психични заболявания разполага с 90 легла структурирани в 3 отделения и 30 места в дневен стационар за пациенти с психични заболявания. В центъра се осъществява лечебна дейност по медицински стандарт „Психиатрия“ с първо ниво на компетентност. В предвид увеличаването броя на заболелите от психични заболявания, дейността на центъра е съобразена с осигуряване на достатъчно легла, необходими за лечение на пациенти както на  регионално така и на междуобластно ниво.</w:t>
      </w:r>
    </w:p>
    <w:p w:rsidR="004A3087" w:rsidRPr="009E7141" w:rsidRDefault="004A3087" w:rsidP="00620F55">
      <w:pPr>
        <w:contextualSpacing/>
        <w:jc w:val="both"/>
        <w:rPr>
          <w:noProof/>
          <w:sz w:val="24"/>
        </w:rPr>
      </w:pPr>
    </w:p>
    <w:p w:rsidR="004A3087" w:rsidRPr="009E7141" w:rsidRDefault="004A3087" w:rsidP="00620F55">
      <w:pPr>
        <w:contextualSpacing/>
        <w:jc w:val="both"/>
        <w:rPr>
          <w:noProof/>
          <w:sz w:val="24"/>
        </w:rPr>
      </w:pPr>
    </w:p>
    <w:p w:rsidR="004A3087" w:rsidRPr="009E7141" w:rsidRDefault="004A3087" w:rsidP="00620F55">
      <w:pPr>
        <w:contextualSpacing/>
        <w:jc w:val="both"/>
        <w:rPr>
          <w:noProof/>
          <w:sz w:val="24"/>
        </w:rPr>
      </w:pPr>
    </w:p>
    <w:p w:rsidR="008A12B7" w:rsidRPr="009E7141" w:rsidRDefault="00BE4621" w:rsidP="008A12B7">
      <w:pPr>
        <w:pStyle w:val="a5"/>
        <w:numPr>
          <w:ilvl w:val="0"/>
          <w:numId w:val="14"/>
        </w:numPr>
        <w:rPr>
          <w:noProof/>
          <w:sz w:val="24"/>
        </w:rPr>
      </w:pPr>
      <w:r w:rsidRPr="009E7141">
        <w:rPr>
          <w:b/>
          <w:noProof/>
          <w:sz w:val="24"/>
        </w:rPr>
        <w:lastRenderedPageBreak/>
        <w:t>Състояние на спешната медицинска помощ</w:t>
      </w:r>
    </w:p>
    <w:p w:rsidR="00325F93" w:rsidRPr="009E7141" w:rsidRDefault="00325F93" w:rsidP="00325F93">
      <w:pPr>
        <w:pStyle w:val="a5"/>
        <w:rPr>
          <w:noProof/>
          <w:sz w:val="24"/>
        </w:rPr>
      </w:pPr>
    </w:p>
    <w:p w:rsidR="00BE4621" w:rsidRPr="009E7141" w:rsidRDefault="00991CE6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О</w:t>
      </w:r>
      <w:r w:rsidR="00BE4621" w:rsidRPr="009E7141">
        <w:rPr>
          <w:noProof/>
          <w:sz w:val="24"/>
        </w:rPr>
        <w:t>съществява се от 1 спешно отделение към МБАЛ Добрич и 1 ЦСМП в гр. Добрич с 6 филиала в следните общини от областта: Добрич, Балчик, Каварна, Ген. Тошево, Тервел и Шабла.</w:t>
      </w:r>
    </w:p>
    <w:p w:rsidR="00BE4621" w:rsidRPr="009E7141" w:rsidRDefault="00BE4621" w:rsidP="00E10E42">
      <w:pPr>
        <w:ind w:firstLine="720"/>
        <w:jc w:val="both"/>
        <w:rPr>
          <w:noProof/>
          <w:sz w:val="24"/>
        </w:rPr>
      </w:pPr>
      <w:r w:rsidRPr="009E7141">
        <w:rPr>
          <w:bCs/>
          <w:noProof/>
          <w:sz w:val="24"/>
        </w:rPr>
        <w:t xml:space="preserve">Предвид географското разположение на населените места в областта (една от най-големите области по територия) в пикови моменти наличните екипи се оказват недостатъчни за своевременно осигуряване на спешна медицинска помощ. Средното разстояние от всички населени места в областта до филиал за спешна медицинска помощ е </w:t>
      </w:r>
      <w:smartTag w:uri="urn:schemas-microsoft-com:office:smarttags" w:element="metricconverter">
        <w:smartTagPr>
          <w:attr w:name="ProductID" w:val="20 км"/>
        </w:smartTagPr>
        <w:r w:rsidRPr="009E7141">
          <w:rPr>
            <w:bCs/>
            <w:noProof/>
            <w:sz w:val="24"/>
          </w:rPr>
          <w:t>20 км</w:t>
        </w:r>
      </w:smartTag>
      <w:r w:rsidRPr="009E7141">
        <w:rPr>
          <w:bCs/>
          <w:noProof/>
          <w:sz w:val="24"/>
        </w:rPr>
        <w:t xml:space="preserve">, а най-отдалеченото населено място  от ФСМП е на </w:t>
      </w:r>
      <w:smartTag w:uri="urn:schemas-microsoft-com:office:smarttags" w:element="metricconverter">
        <w:smartTagPr>
          <w:attr w:name="ProductID" w:val="40 км"/>
        </w:smartTagPr>
        <w:r w:rsidRPr="009E7141">
          <w:rPr>
            <w:bCs/>
            <w:noProof/>
            <w:sz w:val="24"/>
          </w:rPr>
          <w:t>40 км</w:t>
        </w:r>
      </w:smartTag>
      <w:r w:rsidRPr="009E7141">
        <w:rPr>
          <w:bCs/>
          <w:noProof/>
          <w:sz w:val="24"/>
        </w:rPr>
        <w:t>. Създадената организация на работа, с наличния ресурс полага максимални усилия за осигуряване на населението от Област Добрич с равен достъп до системата за спешна медицинска помощ.</w:t>
      </w:r>
    </w:p>
    <w:p w:rsidR="00BE4621" w:rsidRPr="009E7141" w:rsidRDefault="00BE4621" w:rsidP="00E10E42">
      <w:pPr>
        <w:ind w:firstLine="720"/>
        <w:contextualSpacing/>
        <w:jc w:val="both"/>
        <w:rPr>
          <w:bCs/>
          <w:noProof/>
          <w:sz w:val="24"/>
        </w:rPr>
      </w:pPr>
      <w:r w:rsidRPr="009E7141">
        <w:rPr>
          <w:bCs/>
          <w:noProof/>
          <w:sz w:val="24"/>
        </w:rPr>
        <w:t>През 2014 година броят на повикванията за спешна медицинска помощ е 17442,  делът на изпълнените повиквания е 100 %. От тях 94.0 % са за спешна медицинска помощ и 5.7 % за неспешни състояния. Повикванията за санитарен транспорт са 0,2 %.</w:t>
      </w:r>
    </w:p>
    <w:p w:rsidR="00BE4621" w:rsidRPr="009E7141" w:rsidRDefault="00BE4621" w:rsidP="00E10E42">
      <w:pPr>
        <w:contextualSpacing/>
        <w:jc w:val="both"/>
        <w:rPr>
          <w:bCs/>
          <w:noProof/>
          <w:szCs w:val="28"/>
        </w:rPr>
      </w:pPr>
      <w:r w:rsidRPr="009E7141">
        <w:rPr>
          <w:bCs/>
          <w:noProof/>
          <w:sz w:val="24"/>
        </w:rPr>
        <w:t>През разглеждания период от центъра за спешна медицинска помощ са обслужени 32215 лица. От тях са насочени за хоспитализация  18 %.</w:t>
      </w:r>
    </w:p>
    <w:p w:rsidR="00BE4621" w:rsidRPr="009E7141" w:rsidRDefault="00BE4621" w:rsidP="00BE4621">
      <w:pPr>
        <w:contextualSpacing/>
        <w:rPr>
          <w:noProof/>
          <w:sz w:val="24"/>
        </w:rPr>
      </w:pPr>
    </w:p>
    <w:tbl>
      <w:tblPr>
        <w:tblW w:w="0" w:type="auto"/>
        <w:jc w:val="center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0"/>
        <w:gridCol w:w="4290"/>
      </w:tblGrid>
      <w:tr w:rsidR="00BE4621" w:rsidRPr="009E7141" w:rsidTr="00D8238B">
        <w:trPr>
          <w:jc w:val="center"/>
        </w:trPr>
        <w:tc>
          <w:tcPr>
            <w:tcW w:w="502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Показател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брой</w:t>
            </w:r>
          </w:p>
        </w:tc>
      </w:tr>
      <w:tr w:rsidR="00BE4621" w:rsidRPr="009E7141" w:rsidTr="00D8238B">
        <w:trPr>
          <w:jc w:val="center"/>
        </w:trPr>
        <w:tc>
          <w:tcPr>
            <w:tcW w:w="502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Амбулаторни прегледи  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15238</w:t>
            </w:r>
          </w:p>
        </w:tc>
      </w:tr>
      <w:tr w:rsidR="00BE4621" w:rsidRPr="009E7141" w:rsidTr="00D8238B">
        <w:trPr>
          <w:jc w:val="center"/>
        </w:trPr>
        <w:tc>
          <w:tcPr>
            <w:tcW w:w="502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Изпълнени повиквания -   общо, 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от тях – за спешна медицинска помощ </w:t>
            </w:r>
          </w:p>
          <w:p w:rsidR="00BE4621" w:rsidRPr="009E7141" w:rsidRDefault="00BE4621" w:rsidP="00BE4621">
            <w:pPr>
              <w:numPr>
                <w:ilvl w:val="0"/>
                <w:numId w:val="2"/>
              </w:num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за неспешни състояния </w:t>
            </w:r>
          </w:p>
          <w:p w:rsidR="00BE4621" w:rsidRPr="009E7141" w:rsidRDefault="00BE4621" w:rsidP="00BE4621">
            <w:pPr>
              <w:numPr>
                <w:ilvl w:val="0"/>
                <w:numId w:val="2"/>
              </w:num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за санитарен транспорт    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17442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16401</w:t>
            </w:r>
          </w:p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4"/>
              </w:rPr>
            </w:pPr>
            <w:r w:rsidRPr="009E7141">
              <w:rPr>
                <w:b/>
                <w:bCs/>
                <w:noProof/>
                <w:sz w:val="24"/>
              </w:rPr>
              <w:t>1001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40</w:t>
            </w:r>
          </w:p>
        </w:tc>
      </w:tr>
      <w:tr w:rsidR="00BE4621" w:rsidRPr="009E7141" w:rsidTr="00D8238B">
        <w:trPr>
          <w:jc w:val="center"/>
        </w:trPr>
        <w:tc>
          <w:tcPr>
            <w:tcW w:w="502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Общ брой обслужени пациенти 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От тях: при изпълнените повиквания;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               при амбулаторните прегледи;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от тях – брой деца 0-17г. 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           - постъпили в Спешно отделение 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/>
                <w:bCs/>
                <w:noProof/>
                <w:sz w:val="24"/>
              </w:rPr>
            </w:pPr>
            <w:r w:rsidRPr="009E7141">
              <w:rPr>
                <w:b/>
                <w:bCs/>
                <w:noProof/>
                <w:sz w:val="24"/>
              </w:rPr>
              <w:t>32215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16977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15238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4111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2654</w:t>
            </w:r>
          </w:p>
        </w:tc>
      </w:tr>
      <w:tr w:rsidR="00BE4621" w:rsidRPr="009E7141" w:rsidTr="00D8238B">
        <w:trPr>
          <w:jc w:val="center"/>
        </w:trPr>
        <w:tc>
          <w:tcPr>
            <w:tcW w:w="502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Персонал – общ брой,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от тях – лекари </w:t>
            </w:r>
          </w:p>
          <w:p w:rsidR="00BE4621" w:rsidRPr="009E7141" w:rsidRDefault="00BE4621" w:rsidP="00BE4621">
            <w:pPr>
              <w:numPr>
                <w:ilvl w:val="0"/>
                <w:numId w:val="2"/>
              </w:num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фелдшери </w:t>
            </w:r>
          </w:p>
          <w:p w:rsidR="00BE4621" w:rsidRPr="009E7141" w:rsidRDefault="00BE4621" w:rsidP="00BE4621">
            <w:pPr>
              <w:numPr>
                <w:ilvl w:val="0"/>
                <w:numId w:val="2"/>
              </w:num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медицински сестри </w:t>
            </w:r>
          </w:p>
          <w:p w:rsidR="00BE4621" w:rsidRPr="009E7141" w:rsidRDefault="00BE4621" w:rsidP="00BE4621">
            <w:pPr>
              <w:numPr>
                <w:ilvl w:val="0"/>
                <w:numId w:val="2"/>
              </w:num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акушерки 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172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24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46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17</w:t>
            </w:r>
          </w:p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3</w:t>
            </w:r>
          </w:p>
        </w:tc>
      </w:tr>
      <w:tr w:rsidR="00BE4621" w:rsidRPr="009E7141" w:rsidTr="00D8238B">
        <w:trPr>
          <w:jc w:val="center"/>
        </w:trPr>
        <w:tc>
          <w:tcPr>
            <w:tcW w:w="502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 xml:space="preserve">Транспортни средства </w:t>
            </w:r>
          </w:p>
        </w:tc>
        <w:tc>
          <w:tcPr>
            <w:tcW w:w="4290" w:type="dxa"/>
            <w:tcMar>
              <w:left w:w="28" w:type="dxa"/>
              <w:right w:w="28" w:type="dxa"/>
            </w:tcMar>
            <w:vAlign w:val="center"/>
          </w:tcPr>
          <w:p w:rsidR="00BE4621" w:rsidRPr="009E7141" w:rsidRDefault="00BE4621" w:rsidP="00D8238B">
            <w:pPr>
              <w:contextualSpacing/>
              <w:rPr>
                <w:bCs/>
                <w:noProof/>
                <w:sz w:val="24"/>
              </w:rPr>
            </w:pPr>
            <w:r w:rsidRPr="009E7141">
              <w:rPr>
                <w:bCs/>
                <w:noProof/>
                <w:sz w:val="24"/>
              </w:rPr>
              <w:t>22</w:t>
            </w:r>
          </w:p>
        </w:tc>
      </w:tr>
    </w:tbl>
    <w:p w:rsidR="00BE4621" w:rsidRPr="009E7141" w:rsidRDefault="00BE4621" w:rsidP="00BE4621">
      <w:pPr>
        <w:contextualSpacing/>
        <w:rPr>
          <w:bCs/>
          <w:noProof/>
          <w:sz w:val="24"/>
        </w:rPr>
      </w:pPr>
    </w:p>
    <w:p w:rsidR="0009178A" w:rsidRPr="009E7141" w:rsidRDefault="00BE4621" w:rsidP="00E10E42">
      <w:pPr>
        <w:ind w:firstLine="720"/>
        <w:contextualSpacing/>
        <w:jc w:val="both"/>
        <w:rPr>
          <w:bCs/>
          <w:noProof/>
          <w:sz w:val="24"/>
        </w:rPr>
      </w:pPr>
      <w:r w:rsidRPr="009E7141">
        <w:rPr>
          <w:bCs/>
          <w:noProof/>
          <w:sz w:val="24"/>
        </w:rPr>
        <w:t>През 2014 г. изпълнените от ЦСМП повиквания е почти същият като през 2013 г., но броят на обслужените през 2014г. пациенти от ЦСМП бележи понижение с 0,3% спрямо предходната година. Извършените 15238 амбулаторни прегледи в ЦСМП през 2014г. бележат намаление  с 6,1% в сравнение с 2013г.-</w:t>
      </w:r>
      <w:r w:rsidRPr="009E7141">
        <w:rPr>
          <w:noProof/>
        </w:rPr>
        <w:t xml:space="preserve"> </w:t>
      </w:r>
      <w:r w:rsidRPr="009E7141">
        <w:rPr>
          <w:bCs/>
          <w:noProof/>
          <w:sz w:val="24"/>
        </w:rPr>
        <w:t xml:space="preserve">16225. </w:t>
      </w:r>
    </w:p>
    <w:p w:rsidR="00BE4621" w:rsidRPr="009E7141" w:rsidRDefault="00BE4621" w:rsidP="001D5270">
      <w:pPr>
        <w:contextualSpacing/>
        <w:jc w:val="both"/>
        <w:rPr>
          <w:bCs/>
          <w:noProof/>
          <w:sz w:val="24"/>
        </w:rPr>
      </w:pPr>
      <w:r w:rsidRPr="009E7141">
        <w:rPr>
          <w:bCs/>
          <w:noProof/>
          <w:sz w:val="24"/>
        </w:rPr>
        <w:t xml:space="preserve"> </w:t>
      </w:r>
      <w:r w:rsidR="00E10E42" w:rsidRPr="009E7141">
        <w:rPr>
          <w:bCs/>
          <w:noProof/>
          <w:sz w:val="24"/>
        </w:rPr>
        <w:tab/>
      </w:r>
      <w:r w:rsidRPr="009E7141">
        <w:rPr>
          <w:bCs/>
          <w:noProof/>
          <w:sz w:val="24"/>
        </w:rPr>
        <w:t xml:space="preserve">В спешното отделение на МБАЛ – Добрич  </w:t>
      </w:r>
      <w:r w:rsidR="0009178A" w:rsidRPr="009E7141">
        <w:rPr>
          <w:bCs/>
          <w:noProof/>
          <w:sz w:val="24"/>
        </w:rPr>
        <w:t xml:space="preserve">извършените </w:t>
      </w:r>
      <w:r w:rsidRPr="009E7141">
        <w:rPr>
          <w:bCs/>
          <w:noProof/>
          <w:sz w:val="24"/>
        </w:rPr>
        <w:t xml:space="preserve"> </w:t>
      </w:r>
      <w:r w:rsidR="0009178A" w:rsidRPr="009E7141">
        <w:rPr>
          <w:b/>
          <w:bCs/>
          <w:noProof/>
          <w:sz w:val="24"/>
        </w:rPr>
        <w:t>45890</w:t>
      </w:r>
      <w:r w:rsidR="0009178A" w:rsidRPr="009E7141">
        <w:rPr>
          <w:bCs/>
          <w:noProof/>
          <w:sz w:val="24"/>
        </w:rPr>
        <w:t xml:space="preserve"> </w:t>
      </w:r>
      <w:r w:rsidRPr="009E7141">
        <w:rPr>
          <w:bCs/>
          <w:noProof/>
          <w:sz w:val="24"/>
        </w:rPr>
        <w:t>амбулаторни преглед</w:t>
      </w:r>
      <w:r w:rsidR="0009178A" w:rsidRPr="009E7141">
        <w:rPr>
          <w:bCs/>
          <w:noProof/>
          <w:sz w:val="24"/>
        </w:rPr>
        <w:t>а</w:t>
      </w:r>
      <w:r w:rsidRPr="009E7141">
        <w:rPr>
          <w:bCs/>
          <w:noProof/>
          <w:sz w:val="24"/>
        </w:rPr>
        <w:t xml:space="preserve"> също бележат лек спад в сравнение с 2013г.-46047.Така общият брой на амбулаторните прегледи в </w:t>
      </w:r>
      <w:r w:rsidR="003277BF" w:rsidRPr="009E7141">
        <w:rPr>
          <w:bCs/>
          <w:noProof/>
          <w:sz w:val="24"/>
        </w:rPr>
        <w:t xml:space="preserve">системата за спешна помощ  през </w:t>
      </w:r>
      <w:r w:rsidRPr="009E7141">
        <w:rPr>
          <w:bCs/>
          <w:noProof/>
          <w:sz w:val="24"/>
        </w:rPr>
        <w:t>2014 г. е 61128, а за  2013г. е 62272, коет</w:t>
      </w:r>
      <w:r w:rsidR="003277BF" w:rsidRPr="009E7141">
        <w:rPr>
          <w:bCs/>
          <w:noProof/>
          <w:sz w:val="24"/>
        </w:rPr>
        <w:t>о представлява понижение с 1,8%.</w:t>
      </w:r>
    </w:p>
    <w:p w:rsidR="003277BF" w:rsidRPr="009E7141" w:rsidRDefault="003277BF" w:rsidP="001D5270">
      <w:pPr>
        <w:contextualSpacing/>
        <w:jc w:val="both"/>
        <w:rPr>
          <w:bCs/>
          <w:noProof/>
          <w:sz w:val="24"/>
        </w:rPr>
      </w:pPr>
    </w:p>
    <w:p w:rsidR="00BE4621" w:rsidRPr="009E7141" w:rsidRDefault="00BE4621" w:rsidP="00E10E42">
      <w:pPr>
        <w:ind w:firstLine="720"/>
        <w:contextualSpacing/>
        <w:rPr>
          <w:b/>
          <w:bCs/>
          <w:noProof/>
          <w:sz w:val="24"/>
        </w:rPr>
      </w:pPr>
      <w:r w:rsidRPr="009E7141">
        <w:rPr>
          <w:b/>
          <w:bCs/>
          <w:noProof/>
          <w:sz w:val="24"/>
        </w:rPr>
        <w:t xml:space="preserve">Дейност на спешно  отделение към МБАЛ Добрич </w:t>
      </w:r>
    </w:p>
    <w:p w:rsidR="00E10E42" w:rsidRPr="009E7141" w:rsidRDefault="00E10E42" w:rsidP="00E10E42">
      <w:pPr>
        <w:ind w:firstLine="720"/>
        <w:contextualSpacing/>
        <w:rPr>
          <w:b/>
          <w:bCs/>
          <w:noProof/>
          <w:sz w:val="24"/>
        </w:rPr>
      </w:pPr>
    </w:p>
    <w:p w:rsidR="00BE4621" w:rsidRPr="009E7141" w:rsidRDefault="00BE4621" w:rsidP="00E10E42">
      <w:pPr>
        <w:ind w:firstLine="720"/>
        <w:contextualSpacing/>
        <w:rPr>
          <w:bCs/>
          <w:noProof/>
          <w:sz w:val="24"/>
        </w:rPr>
      </w:pPr>
      <w:r w:rsidRPr="009E7141">
        <w:rPr>
          <w:bCs/>
          <w:noProof/>
          <w:sz w:val="24"/>
        </w:rPr>
        <w:t>Амбулаторни прегледи - 45890</w:t>
      </w:r>
    </w:p>
    <w:p w:rsidR="00BE4621" w:rsidRPr="009E7141" w:rsidRDefault="00BE4621" w:rsidP="00E10E42">
      <w:pPr>
        <w:ind w:firstLine="720"/>
        <w:contextualSpacing/>
        <w:rPr>
          <w:bCs/>
          <w:noProof/>
          <w:sz w:val="24"/>
        </w:rPr>
      </w:pPr>
      <w:r w:rsidRPr="009E7141">
        <w:rPr>
          <w:bCs/>
          <w:noProof/>
          <w:sz w:val="24"/>
        </w:rPr>
        <w:t>Хоспитализации – 10835</w:t>
      </w:r>
    </w:p>
    <w:p w:rsidR="00BE4621" w:rsidRPr="009E7141" w:rsidRDefault="00BE4621" w:rsidP="00E10E42">
      <w:pPr>
        <w:ind w:firstLine="720"/>
        <w:contextualSpacing/>
        <w:jc w:val="both"/>
        <w:rPr>
          <w:bCs/>
          <w:noProof/>
          <w:szCs w:val="28"/>
        </w:rPr>
      </w:pPr>
      <w:r w:rsidRPr="009E7141">
        <w:rPr>
          <w:bCs/>
          <w:noProof/>
          <w:sz w:val="24"/>
        </w:rPr>
        <w:lastRenderedPageBreak/>
        <w:t>От обслужените пациенти през 2014 г. в  спешно отделение при МБАЛ</w:t>
      </w:r>
      <w:r w:rsidR="003277BF" w:rsidRPr="009E7141">
        <w:rPr>
          <w:bCs/>
          <w:noProof/>
          <w:sz w:val="24"/>
        </w:rPr>
        <w:t xml:space="preserve"> Добрия</w:t>
      </w:r>
      <w:r w:rsidRPr="009E7141">
        <w:rPr>
          <w:bCs/>
          <w:noProof/>
          <w:sz w:val="24"/>
        </w:rPr>
        <w:t xml:space="preserve"> – 45890 души,  10835 (23%) са били хоспитализирани по спешност, което запазва тенденцият</w:t>
      </w:r>
      <w:r w:rsidR="003277BF" w:rsidRPr="009E7141">
        <w:rPr>
          <w:bCs/>
          <w:noProof/>
          <w:sz w:val="24"/>
        </w:rPr>
        <w:t>а от 2013г.</w:t>
      </w:r>
      <w:r w:rsidRPr="009E7141">
        <w:rPr>
          <w:bCs/>
          <w:noProof/>
          <w:sz w:val="24"/>
        </w:rPr>
        <w:t>(22%).На останалите нехоспитализирани пациенти са осъществени необходимите диагностично-лечебни дейности, след което са насочени към системата за извънболнична медицинска помощ.</w:t>
      </w:r>
    </w:p>
    <w:p w:rsidR="00BE4621" w:rsidRPr="009E7141" w:rsidRDefault="00BE4621" w:rsidP="00E10E42">
      <w:pPr>
        <w:ind w:firstLine="720"/>
        <w:contextualSpacing/>
        <w:jc w:val="both"/>
        <w:rPr>
          <w:bCs/>
          <w:noProof/>
          <w:sz w:val="24"/>
        </w:rPr>
      </w:pPr>
      <w:r w:rsidRPr="009E7141">
        <w:rPr>
          <w:bCs/>
          <w:noProof/>
          <w:sz w:val="24"/>
        </w:rPr>
        <w:t>Съществуващите в момента проблеми са свързани с това, че не са ясно дефинирани  функциите и задълженията на системата за спешна медицинска помощ. Поради затруднения</w:t>
      </w:r>
      <w:r w:rsidR="00E219B2" w:rsidRPr="009E7141">
        <w:rPr>
          <w:bCs/>
          <w:noProof/>
          <w:sz w:val="24"/>
        </w:rPr>
        <w:t xml:space="preserve"> основно от финансов характер</w:t>
      </w:r>
      <w:r w:rsidRPr="009E7141">
        <w:rPr>
          <w:bCs/>
          <w:noProof/>
          <w:sz w:val="24"/>
        </w:rPr>
        <w:t xml:space="preserve"> в достъпа на пациентите до ОПЛ нараства търсенето на медицинска помощ в ЦСМП и Спешните отделения на</w:t>
      </w:r>
      <w:r w:rsidR="00DD257F" w:rsidRPr="009E7141">
        <w:rPr>
          <w:bCs/>
          <w:noProof/>
          <w:sz w:val="24"/>
        </w:rPr>
        <w:t xml:space="preserve"> многопрофилните</w:t>
      </w:r>
      <w:r w:rsidRPr="009E7141">
        <w:rPr>
          <w:bCs/>
          <w:noProof/>
          <w:sz w:val="24"/>
        </w:rPr>
        <w:t xml:space="preserve"> болници. Това се наблюдава особено в по-малките и отдалечените населени места. Съществуват проблеми във взаимодействието с другите структури на здравната система. Фактор за това е и отсъствието на единни диагностично-терапевтични алгоритми на поведение на екипите на центровете за спешна медицинска помощ и спешните отделения на многопрофилните болници при спешни състояния, както и недостатъчната информираност на населението.</w:t>
      </w:r>
    </w:p>
    <w:p w:rsidR="00890E20" w:rsidRPr="009E7141" w:rsidRDefault="00BE4621" w:rsidP="00E10E42">
      <w:pPr>
        <w:ind w:firstLine="720"/>
        <w:contextualSpacing/>
        <w:jc w:val="both"/>
        <w:rPr>
          <w:b/>
          <w:bCs/>
          <w:noProof/>
        </w:rPr>
      </w:pPr>
      <w:r w:rsidRPr="009E7141">
        <w:rPr>
          <w:bCs/>
          <w:noProof/>
          <w:sz w:val="24"/>
        </w:rPr>
        <w:t xml:space="preserve">Налице е дефицит на медицински персонал, има голямо текучество, особено сред лекарите. Основната тежест, особено във филиалите, се поема от средния медицински персонал. Основните негативи </w:t>
      </w:r>
      <w:r w:rsidR="00DD257F" w:rsidRPr="009E7141">
        <w:rPr>
          <w:bCs/>
          <w:noProof/>
          <w:sz w:val="24"/>
        </w:rPr>
        <w:t xml:space="preserve"> за </w:t>
      </w:r>
      <w:r w:rsidRPr="009E7141">
        <w:rPr>
          <w:bCs/>
          <w:noProof/>
          <w:sz w:val="24"/>
        </w:rPr>
        <w:t xml:space="preserve">спешната помощ </w:t>
      </w:r>
      <w:r w:rsidR="00DD257F" w:rsidRPr="009E7141">
        <w:rPr>
          <w:bCs/>
          <w:noProof/>
          <w:sz w:val="24"/>
        </w:rPr>
        <w:t xml:space="preserve"> произтичат от </w:t>
      </w:r>
      <w:r w:rsidRPr="009E7141">
        <w:rPr>
          <w:bCs/>
          <w:noProof/>
          <w:sz w:val="24"/>
        </w:rPr>
        <w:t>забавяне на времето за оказване</w:t>
      </w:r>
      <w:r w:rsidR="003277BF" w:rsidRPr="009E7141">
        <w:rPr>
          <w:bCs/>
          <w:noProof/>
          <w:sz w:val="24"/>
        </w:rPr>
        <w:t>то и</w:t>
      </w:r>
      <w:r w:rsidR="00B05D4A" w:rsidRPr="009E7141">
        <w:rPr>
          <w:bCs/>
          <w:noProof/>
          <w:sz w:val="24"/>
        </w:rPr>
        <w:t>.</w:t>
      </w:r>
    </w:p>
    <w:p w:rsidR="00890E20" w:rsidRPr="009E7141" w:rsidRDefault="00890E20" w:rsidP="00890E20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b/>
          <w:bCs/>
          <w:noProof/>
        </w:rPr>
      </w:pPr>
    </w:p>
    <w:p w:rsidR="00890E20" w:rsidRPr="009E7141" w:rsidRDefault="00890E20" w:rsidP="00B80B1A">
      <w:pPr>
        <w:pStyle w:val="Style16"/>
        <w:widowControl/>
        <w:numPr>
          <w:ilvl w:val="1"/>
          <w:numId w:val="19"/>
        </w:numPr>
        <w:tabs>
          <w:tab w:val="left" w:pos="1166"/>
        </w:tabs>
        <w:spacing w:line="274" w:lineRule="exact"/>
        <w:ind w:right="5"/>
        <w:rPr>
          <w:rStyle w:val="FontStyle113"/>
          <w:b/>
          <w:noProof/>
          <w:sz w:val="24"/>
          <w:szCs w:val="24"/>
        </w:rPr>
      </w:pPr>
      <w:r w:rsidRPr="009E7141">
        <w:rPr>
          <w:rStyle w:val="FontStyle113"/>
          <w:b/>
          <w:noProof/>
          <w:sz w:val="24"/>
          <w:szCs w:val="24"/>
        </w:rPr>
        <w:t>Становище за конкретните потребности от лекари и лекари по дентална медицина по специалности и специалисти от професионално направление "Здравни грижи" за осигуряването на достъп на населението от областта до медицинско обслужване в извънболничната медицинска помощ;</w:t>
      </w:r>
    </w:p>
    <w:p w:rsidR="00363805" w:rsidRPr="009E7141" w:rsidRDefault="00363805" w:rsidP="00890E20">
      <w:pPr>
        <w:contextualSpacing/>
        <w:jc w:val="both"/>
        <w:rPr>
          <w:b/>
          <w:bCs/>
          <w:noProof/>
          <w:sz w:val="24"/>
        </w:rPr>
      </w:pPr>
    </w:p>
    <w:p w:rsidR="007369AE" w:rsidRPr="009E7141" w:rsidRDefault="00F419C8" w:rsidP="004A3087">
      <w:pPr>
        <w:ind w:firstLine="720"/>
        <w:rPr>
          <w:b/>
          <w:noProof/>
          <w:sz w:val="24"/>
        </w:rPr>
      </w:pPr>
      <w:r w:rsidRPr="009E7141">
        <w:rPr>
          <w:b/>
          <w:noProof/>
          <w:sz w:val="24"/>
        </w:rPr>
        <w:t>Приложение 3-2</w:t>
      </w:r>
    </w:p>
    <w:p w:rsidR="00A10B23" w:rsidRPr="009E7141" w:rsidRDefault="00A10B23" w:rsidP="007369AE">
      <w:pPr>
        <w:rPr>
          <w:b/>
          <w:noProof/>
          <w:sz w:val="24"/>
        </w:rPr>
      </w:pPr>
    </w:p>
    <w:p w:rsidR="00920ECF" w:rsidRPr="009E7141" w:rsidRDefault="00A10B23" w:rsidP="00E10E42">
      <w:pPr>
        <w:ind w:firstLine="720"/>
        <w:jc w:val="both"/>
        <w:rPr>
          <w:noProof/>
          <w:sz w:val="24"/>
        </w:rPr>
      </w:pPr>
      <w:r w:rsidRPr="009E7141">
        <w:rPr>
          <w:b/>
          <w:noProof/>
          <w:sz w:val="24"/>
        </w:rPr>
        <w:t>В специализираната извънболнична помощ</w:t>
      </w:r>
      <w:r w:rsidRPr="009E7141">
        <w:rPr>
          <w:noProof/>
          <w:sz w:val="24"/>
        </w:rPr>
        <w:t xml:space="preserve"> в област Добрич работят  общо 222 лекари специалисти  разпределени по специалности.Определеният по методиката</w:t>
      </w:r>
      <w:r w:rsidR="00FA2730" w:rsidRPr="009E7141">
        <w:rPr>
          <w:noProof/>
          <w:sz w:val="24"/>
        </w:rPr>
        <w:t xml:space="preserve"> необходим </w:t>
      </w:r>
      <w:r w:rsidRPr="009E7141">
        <w:rPr>
          <w:noProof/>
          <w:sz w:val="24"/>
        </w:rPr>
        <w:t xml:space="preserve"> минимален брой лекари е 149</w:t>
      </w:r>
      <w:r w:rsidR="00FA2730" w:rsidRPr="009E7141">
        <w:rPr>
          <w:noProof/>
          <w:sz w:val="24"/>
        </w:rPr>
        <w:t>.</w:t>
      </w:r>
      <w:r w:rsidR="00920ECF" w:rsidRPr="009E7141">
        <w:rPr>
          <w:noProof/>
          <w:sz w:val="24"/>
        </w:rPr>
        <w:t xml:space="preserve"> </w:t>
      </w:r>
    </w:p>
    <w:p w:rsidR="006341D6" w:rsidRPr="009E7141" w:rsidRDefault="00920ECF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Нашето п</w:t>
      </w:r>
      <w:r w:rsidR="003B5C8E" w:rsidRPr="009E7141">
        <w:rPr>
          <w:noProof/>
          <w:sz w:val="24"/>
        </w:rPr>
        <w:t>ред</w:t>
      </w:r>
      <w:r w:rsidRPr="009E7141">
        <w:rPr>
          <w:noProof/>
          <w:sz w:val="24"/>
        </w:rPr>
        <w:t>ложение</w:t>
      </w:r>
      <w:r w:rsidRPr="009E7141">
        <w:rPr>
          <w:rStyle w:val="FontStyle113"/>
          <w:noProof/>
          <w:sz w:val="24"/>
          <w:szCs w:val="24"/>
        </w:rPr>
        <w:t xml:space="preserve"> за конкретните потребности от лекари </w:t>
      </w:r>
      <w:r w:rsidR="006341D6" w:rsidRPr="009E7141">
        <w:rPr>
          <w:rStyle w:val="FontStyle113"/>
          <w:noProof/>
          <w:sz w:val="24"/>
          <w:szCs w:val="24"/>
        </w:rPr>
        <w:t xml:space="preserve"> </w:t>
      </w:r>
      <w:r w:rsidRPr="009E7141">
        <w:rPr>
          <w:rStyle w:val="FontStyle113"/>
          <w:noProof/>
          <w:sz w:val="24"/>
          <w:szCs w:val="24"/>
        </w:rPr>
        <w:t>по специалности</w:t>
      </w:r>
      <w:r w:rsidRPr="009E7141">
        <w:rPr>
          <w:noProof/>
          <w:sz w:val="24"/>
        </w:rPr>
        <w:t xml:space="preserve"> </w:t>
      </w:r>
      <w:r w:rsidR="006341D6" w:rsidRPr="009E7141">
        <w:rPr>
          <w:rStyle w:val="FontStyle113"/>
          <w:noProof/>
          <w:sz w:val="24"/>
          <w:szCs w:val="24"/>
        </w:rPr>
        <w:t>осигуряващи достъп на населението от областта до медицинско обслужване в извънболничната медицинска помощ</w:t>
      </w:r>
      <w:r w:rsidR="006341D6" w:rsidRPr="009E7141">
        <w:rPr>
          <w:noProof/>
          <w:sz w:val="24"/>
        </w:rPr>
        <w:t xml:space="preserve"> е </w:t>
      </w:r>
      <w:r w:rsidR="006341D6" w:rsidRPr="009E7141">
        <w:rPr>
          <w:b/>
          <w:noProof/>
          <w:sz w:val="24"/>
        </w:rPr>
        <w:t>235.</w:t>
      </w:r>
    </w:p>
    <w:p w:rsidR="00A63DBA" w:rsidRPr="009E7141" w:rsidRDefault="00A63DBA" w:rsidP="00E10E42">
      <w:pPr>
        <w:ind w:firstLine="720"/>
        <w:contextualSpacing/>
        <w:jc w:val="both"/>
        <w:rPr>
          <w:b/>
          <w:bCs/>
          <w:noProof/>
          <w:sz w:val="24"/>
        </w:rPr>
      </w:pPr>
      <w:r w:rsidRPr="009E7141">
        <w:rPr>
          <w:bCs/>
          <w:noProof/>
          <w:sz w:val="24"/>
        </w:rPr>
        <w:t>При определени специалности като,е</w:t>
      </w:r>
      <w:r w:rsidRPr="009E7141">
        <w:rPr>
          <w:noProof/>
          <w:color w:val="000000"/>
          <w:sz w:val="24"/>
          <w:lang w:eastAsia="bg-BG"/>
        </w:rPr>
        <w:t xml:space="preserve">ндокринология и болести на обмяната, кардиология,ортопедия и травматология,съдова хирургия броят на работещите специалисти е по-малък от </w:t>
      </w:r>
      <w:r w:rsidRPr="009E7141">
        <w:rPr>
          <w:noProof/>
          <w:sz w:val="24"/>
        </w:rPr>
        <w:t xml:space="preserve">необходимият минимален брой лекари.В обсега на тези специалности попадат </w:t>
      </w:r>
      <w:r w:rsidR="00943F26" w:rsidRPr="009E7141">
        <w:rPr>
          <w:noProof/>
          <w:sz w:val="24"/>
        </w:rPr>
        <w:t>заболявания,които са водещи в структурата на заболеваемостта и болестността в област Добрич.</w:t>
      </w:r>
    </w:p>
    <w:p w:rsidR="00A10B23" w:rsidRPr="009E7141" w:rsidRDefault="00A10B23" w:rsidP="006341D6">
      <w:pPr>
        <w:pStyle w:val="Style16"/>
        <w:widowControl/>
        <w:tabs>
          <w:tab w:val="left" w:pos="1166"/>
        </w:tabs>
        <w:spacing w:line="274" w:lineRule="exact"/>
        <w:ind w:right="5" w:firstLine="0"/>
        <w:rPr>
          <w:noProof/>
        </w:rPr>
      </w:pPr>
    </w:p>
    <w:p w:rsidR="00916896" w:rsidRPr="009E7141" w:rsidRDefault="006341D6" w:rsidP="00E10E42">
      <w:pPr>
        <w:ind w:firstLine="720"/>
        <w:jc w:val="both"/>
        <w:rPr>
          <w:noProof/>
          <w:sz w:val="24"/>
        </w:rPr>
      </w:pPr>
      <w:r w:rsidRPr="009E7141">
        <w:rPr>
          <w:b/>
          <w:noProof/>
          <w:sz w:val="24"/>
        </w:rPr>
        <w:t xml:space="preserve">Аргументи </w:t>
      </w:r>
      <w:r w:rsidR="00916896" w:rsidRPr="009E7141">
        <w:rPr>
          <w:b/>
          <w:noProof/>
          <w:sz w:val="24"/>
        </w:rPr>
        <w:t>за</w:t>
      </w:r>
      <w:r w:rsidR="00B05D4A" w:rsidRPr="009E7141">
        <w:rPr>
          <w:b/>
          <w:noProof/>
          <w:sz w:val="24"/>
        </w:rPr>
        <w:t xml:space="preserve"> предлаганият </w:t>
      </w:r>
      <w:r w:rsidR="00916896" w:rsidRPr="009E7141">
        <w:rPr>
          <w:b/>
          <w:noProof/>
          <w:sz w:val="24"/>
        </w:rPr>
        <w:t xml:space="preserve">по-голям брой специалисти от </w:t>
      </w:r>
      <w:r w:rsidR="00B05D4A" w:rsidRPr="009E7141">
        <w:rPr>
          <w:b/>
          <w:noProof/>
          <w:sz w:val="24"/>
        </w:rPr>
        <w:t xml:space="preserve">определеният </w:t>
      </w:r>
      <w:r w:rsidR="00916896" w:rsidRPr="009E7141">
        <w:rPr>
          <w:b/>
          <w:noProof/>
          <w:sz w:val="24"/>
        </w:rPr>
        <w:t>в методиката</w:t>
      </w:r>
      <w:r w:rsidR="00916896" w:rsidRPr="009E7141">
        <w:rPr>
          <w:noProof/>
          <w:sz w:val="24"/>
        </w:rPr>
        <w:t>.</w:t>
      </w:r>
    </w:p>
    <w:p w:rsidR="00F22E00" w:rsidRPr="009E7141" w:rsidRDefault="00916896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Предоставени</w:t>
      </w:r>
      <w:r w:rsidR="006341D6" w:rsidRPr="009E7141">
        <w:rPr>
          <w:noProof/>
          <w:sz w:val="24"/>
        </w:rPr>
        <w:t>ят</w:t>
      </w:r>
      <w:r w:rsidRPr="009E7141">
        <w:rPr>
          <w:noProof/>
          <w:sz w:val="24"/>
        </w:rPr>
        <w:t xml:space="preserve"> ни брой прегледи от специалисти за 2014 г. от НЗОК смятаме за нереален, тъй като има регистрирани СИМП, които не са сключили договор с РЗОК. </w:t>
      </w:r>
      <w:r w:rsidR="00562A82" w:rsidRPr="009E7141">
        <w:rPr>
          <w:noProof/>
          <w:sz w:val="24"/>
        </w:rPr>
        <w:t xml:space="preserve">Исканото увеличение </w:t>
      </w:r>
      <w:r w:rsidR="003A42FA" w:rsidRPr="009E7141">
        <w:rPr>
          <w:noProof/>
          <w:sz w:val="24"/>
        </w:rPr>
        <w:t>на</w:t>
      </w:r>
      <w:r w:rsidR="00562A82" w:rsidRPr="009E7141">
        <w:rPr>
          <w:noProof/>
          <w:sz w:val="24"/>
        </w:rPr>
        <w:t xml:space="preserve"> броя</w:t>
      </w:r>
      <w:r w:rsidRPr="009E7141">
        <w:rPr>
          <w:noProof/>
          <w:sz w:val="24"/>
        </w:rPr>
        <w:t xml:space="preserve"> </w:t>
      </w:r>
      <w:r w:rsidR="00562A82" w:rsidRPr="009E7141">
        <w:rPr>
          <w:noProof/>
          <w:sz w:val="24"/>
        </w:rPr>
        <w:t>на</w:t>
      </w:r>
      <w:r w:rsidRPr="009E7141">
        <w:rPr>
          <w:noProof/>
          <w:sz w:val="24"/>
        </w:rPr>
        <w:t xml:space="preserve"> специалисти</w:t>
      </w:r>
      <w:r w:rsidR="00562A82" w:rsidRPr="009E7141">
        <w:rPr>
          <w:noProof/>
          <w:sz w:val="24"/>
        </w:rPr>
        <w:t>те е</w:t>
      </w:r>
      <w:r w:rsidRPr="009E7141">
        <w:rPr>
          <w:noProof/>
          <w:sz w:val="24"/>
        </w:rPr>
        <w:t xml:space="preserve"> съобразен</w:t>
      </w:r>
      <w:r w:rsidR="00562A82" w:rsidRPr="009E7141">
        <w:rPr>
          <w:noProof/>
          <w:sz w:val="24"/>
        </w:rPr>
        <w:t>о</w:t>
      </w:r>
      <w:r w:rsidRPr="009E7141">
        <w:rPr>
          <w:noProof/>
          <w:sz w:val="24"/>
        </w:rPr>
        <w:t xml:space="preserve"> с отчетените прегледи в годишните </w:t>
      </w:r>
      <w:r w:rsidR="00060990" w:rsidRPr="009E7141">
        <w:rPr>
          <w:noProof/>
          <w:sz w:val="24"/>
        </w:rPr>
        <w:t xml:space="preserve">статистически </w:t>
      </w:r>
      <w:r w:rsidRPr="009E7141">
        <w:rPr>
          <w:noProof/>
          <w:sz w:val="24"/>
        </w:rPr>
        <w:t>отчети на лечебните заведения за СИМП, които са със 17% повече от предоставения брой прегледи от НЗОК</w:t>
      </w:r>
      <w:r w:rsidR="00291BD7" w:rsidRPr="009E7141">
        <w:rPr>
          <w:noProof/>
          <w:sz w:val="24"/>
        </w:rPr>
        <w:t xml:space="preserve">.По -големият </w:t>
      </w:r>
      <w:r w:rsidR="00967F08" w:rsidRPr="009E7141">
        <w:rPr>
          <w:noProof/>
          <w:sz w:val="24"/>
        </w:rPr>
        <w:t xml:space="preserve"> брой на специалистите е съобразен</w:t>
      </w:r>
      <w:r w:rsidR="003A42FA" w:rsidRPr="009E7141">
        <w:rPr>
          <w:noProof/>
          <w:sz w:val="24"/>
        </w:rPr>
        <w:t xml:space="preserve"> и</w:t>
      </w:r>
      <w:r w:rsidR="00967F08" w:rsidRPr="009E7141">
        <w:rPr>
          <w:noProof/>
          <w:sz w:val="24"/>
        </w:rPr>
        <w:t xml:space="preserve"> с</w:t>
      </w:r>
      <w:r w:rsidRPr="009E7141">
        <w:rPr>
          <w:noProof/>
          <w:sz w:val="24"/>
        </w:rPr>
        <w:t xml:space="preserve"> </w:t>
      </w:r>
      <w:r w:rsidR="00F25B95" w:rsidRPr="009E7141">
        <w:rPr>
          <w:noProof/>
          <w:sz w:val="24"/>
        </w:rPr>
        <w:t xml:space="preserve">тяхната </w:t>
      </w:r>
      <w:r w:rsidRPr="009E7141">
        <w:rPr>
          <w:noProof/>
          <w:sz w:val="24"/>
        </w:rPr>
        <w:t>възрастовата</w:t>
      </w:r>
      <w:r w:rsidR="003A42FA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структура</w:t>
      </w:r>
      <w:r w:rsidR="00291BD7" w:rsidRPr="009E7141">
        <w:rPr>
          <w:noProof/>
          <w:sz w:val="24"/>
        </w:rPr>
        <w:t>.О</w:t>
      </w:r>
      <w:r w:rsidR="0048161F" w:rsidRPr="009E7141">
        <w:rPr>
          <w:noProof/>
          <w:sz w:val="24"/>
        </w:rPr>
        <w:t>коло 30%</w:t>
      </w:r>
      <w:r w:rsidR="00291BD7" w:rsidRPr="009E7141">
        <w:rPr>
          <w:noProof/>
          <w:sz w:val="24"/>
        </w:rPr>
        <w:t xml:space="preserve"> </w:t>
      </w:r>
      <w:r w:rsidR="00967F08" w:rsidRPr="009E7141">
        <w:rPr>
          <w:noProof/>
          <w:sz w:val="24"/>
        </w:rPr>
        <w:t>от</w:t>
      </w:r>
      <w:r w:rsidR="003A42FA" w:rsidRPr="009E7141">
        <w:rPr>
          <w:noProof/>
          <w:sz w:val="24"/>
        </w:rPr>
        <w:t xml:space="preserve"> работещите</w:t>
      </w:r>
      <w:r w:rsidRPr="009E7141">
        <w:rPr>
          <w:noProof/>
          <w:sz w:val="24"/>
        </w:rPr>
        <w:t xml:space="preserve"> лекари</w:t>
      </w:r>
      <w:r w:rsidR="003A42FA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и медицински</w:t>
      </w:r>
      <w:r w:rsidR="003A42FA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специалисти в специализираната извънболнична медицинска помощ</w:t>
      </w:r>
      <w:r w:rsidR="00291BD7" w:rsidRPr="009E7141">
        <w:rPr>
          <w:noProof/>
          <w:sz w:val="24"/>
        </w:rPr>
        <w:t xml:space="preserve"> са на и над пенсионна възраст</w:t>
      </w:r>
      <w:r w:rsidR="00967F08" w:rsidRPr="009E7141">
        <w:rPr>
          <w:noProof/>
          <w:sz w:val="24"/>
        </w:rPr>
        <w:t>.</w:t>
      </w:r>
      <w:r w:rsidR="00E07023" w:rsidRPr="009E7141">
        <w:rPr>
          <w:noProof/>
          <w:sz w:val="24"/>
        </w:rPr>
        <w:t>Водили сме се от демографската характеристика на областта</w:t>
      </w:r>
      <w:r w:rsidR="00F25B95" w:rsidRPr="009E7141">
        <w:rPr>
          <w:noProof/>
          <w:sz w:val="24"/>
        </w:rPr>
        <w:t>,</w:t>
      </w:r>
      <w:r w:rsidR="00F22E00" w:rsidRPr="009E7141">
        <w:rPr>
          <w:noProof/>
          <w:sz w:val="24"/>
        </w:rPr>
        <w:t xml:space="preserve"> </w:t>
      </w:r>
      <w:r w:rsidR="003A42FA" w:rsidRPr="009E7141">
        <w:rPr>
          <w:noProof/>
          <w:sz w:val="24"/>
        </w:rPr>
        <w:t xml:space="preserve"> </w:t>
      </w:r>
      <w:r w:rsidR="00E07023" w:rsidRPr="009E7141">
        <w:rPr>
          <w:noProof/>
          <w:sz w:val="24"/>
        </w:rPr>
        <w:t>заболеваемостта и н</w:t>
      </w:r>
      <w:r w:rsidR="00F22E00" w:rsidRPr="009E7141">
        <w:rPr>
          <w:noProof/>
          <w:sz w:val="24"/>
        </w:rPr>
        <w:t xml:space="preserve">е на последно място </w:t>
      </w:r>
      <w:r w:rsidR="00E07023" w:rsidRPr="009E7141">
        <w:rPr>
          <w:noProof/>
          <w:sz w:val="24"/>
        </w:rPr>
        <w:t>от</w:t>
      </w:r>
      <w:r w:rsidR="00F22E00" w:rsidRPr="009E7141">
        <w:rPr>
          <w:noProof/>
          <w:sz w:val="24"/>
        </w:rPr>
        <w:t xml:space="preserve"> специфичните географски и териториални </w:t>
      </w:r>
      <w:r w:rsidR="00F22E00" w:rsidRPr="009E7141">
        <w:rPr>
          <w:noProof/>
          <w:sz w:val="24"/>
        </w:rPr>
        <w:lastRenderedPageBreak/>
        <w:t>особености на региона</w:t>
      </w:r>
      <w:r w:rsidR="003A42FA" w:rsidRPr="009E7141">
        <w:rPr>
          <w:noProof/>
          <w:sz w:val="24"/>
        </w:rPr>
        <w:t>,</w:t>
      </w:r>
      <w:r w:rsidR="00F22E00" w:rsidRPr="009E7141">
        <w:rPr>
          <w:noProof/>
          <w:sz w:val="24"/>
        </w:rPr>
        <w:t xml:space="preserve"> като отдалеченост на селищата от лечебните заведения, лошата инфраструктура, суровите зимни условия и др.</w:t>
      </w:r>
      <w:r w:rsidR="000D5B10" w:rsidRPr="009E7141">
        <w:rPr>
          <w:noProof/>
          <w:sz w:val="24"/>
        </w:rPr>
        <w:t xml:space="preserve"> По някои от специалностите съгласно </w:t>
      </w:r>
      <w:r w:rsidR="00B05D4A" w:rsidRPr="009E7141">
        <w:rPr>
          <w:noProof/>
          <w:sz w:val="24"/>
        </w:rPr>
        <w:t>методиката</w:t>
      </w:r>
      <w:r w:rsidR="000D5B10" w:rsidRPr="009E7141">
        <w:rPr>
          <w:noProof/>
          <w:sz w:val="24"/>
        </w:rPr>
        <w:t xml:space="preserve"> не се предвиждат </w:t>
      </w:r>
      <w:r w:rsidR="00E07023" w:rsidRPr="009E7141">
        <w:rPr>
          <w:noProof/>
          <w:sz w:val="24"/>
        </w:rPr>
        <w:t>лекари</w:t>
      </w:r>
      <w:r w:rsidR="000D5B10" w:rsidRPr="009E7141">
        <w:rPr>
          <w:noProof/>
          <w:sz w:val="24"/>
        </w:rPr>
        <w:t>, независимо от това залагаме по един лекар от тези специалности:</w:t>
      </w:r>
      <w:r w:rsidR="003A42FA" w:rsidRPr="009E7141">
        <w:rPr>
          <w:noProof/>
          <w:sz w:val="24"/>
        </w:rPr>
        <w:t xml:space="preserve"> </w:t>
      </w:r>
      <w:r w:rsidR="00B5213F" w:rsidRPr="009E7141">
        <w:rPr>
          <w:noProof/>
          <w:sz w:val="24"/>
        </w:rPr>
        <w:t>кл.хематология,мед.онкология,мед.паразитология, инфекциозни болести</w:t>
      </w:r>
      <w:r w:rsidR="00404ED1" w:rsidRPr="009E7141">
        <w:rPr>
          <w:noProof/>
          <w:sz w:val="24"/>
        </w:rPr>
        <w:t>,</w:t>
      </w:r>
      <w:r w:rsidR="00B5213F" w:rsidRPr="009E7141">
        <w:rPr>
          <w:noProof/>
          <w:sz w:val="24"/>
        </w:rPr>
        <w:t xml:space="preserve"> </w:t>
      </w:r>
      <w:r w:rsidR="00A63DBA" w:rsidRPr="009E7141">
        <w:rPr>
          <w:noProof/>
          <w:sz w:val="24"/>
        </w:rPr>
        <w:t>поради конкретните потребности</w:t>
      </w:r>
      <w:r w:rsidR="00404ED1" w:rsidRPr="009E7141">
        <w:rPr>
          <w:noProof/>
          <w:sz w:val="24"/>
        </w:rPr>
        <w:t xml:space="preserve"> в областта</w:t>
      </w:r>
      <w:r w:rsidR="00A63DBA" w:rsidRPr="009E7141">
        <w:rPr>
          <w:noProof/>
          <w:sz w:val="24"/>
        </w:rPr>
        <w:t>.</w:t>
      </w:r>
    </w:p>
    <w:p w:rsidR="00181E3A" w:rsidRPr="009E7141" w:rsidRDefault="00181E3A" w:rsidP="00895CED">
      <w:pPr>
        <w:jc w:val="both"/>
        <w:rPr>
          <w:noProof/>
          <w:sz w:val="24"/>
        </w:rPr>
      </w:pPr>
    </w:p>
    <w:p w:rsidR="00DE42F3" w:rsidRPr="009E7141" w:rsidRDefault="00DE42F3" w:rsidP="004A3087">
      <w:pPr>
        <w:ind w:firstLine="720"/>
        <w:jc w:val="both"/>
        <w:rPr>
          <w:b/>
          <w:noProof/>
          <w:sz w:val="24"/>
          <w:lang w:eastAsia="bg-BG"/>
        </w:rPr>
      </w:pPr>
      <w:r w:rsidRPr="009E7141">
        <w:rPr>
          <w:b/>
          <w:noProof/>
          <w:sz w:val="24"/>
          <w:lang w:eastAsia="bg-BG"/>
        </w:rPr>
        <w:t>Приложение 3-1</w:t>
      </w:r>
      <w:r w:rsidR="00BF01B5" w:rsidRPr="009E7141">
        <w:rPr>
          <w:b/>
          <w:noProof/>
          <w:sz w:val="24"/>
          <w:lang w:eastAsia="bg-BG"/>
        </w:rPr>
        <w:t xml:space="preserve"> </w:t>
      </w:r>
    </w:p>
    <w:p w:rsidR="00DE42F3" w:rsidRPr="009E7141" w:rsidRDefault="00DE42F3" w:rsidP="00DE42F3">
      <w:pPr>
        <w:jc w:val="both"/>
        <w:rPr>
          <w:b/>
          <w:noProof/>
          <w:sz w:val="24"/>
        </w:rPr>
      </w:pPr>
      <w:r w:rsidRPr="009E7141">
        <w:rPr>
          <w:b/>
          <w:noProof/>
          <w:sz w:val="24"/>
          <w:lang w:eastAsia="bg-BG"/>
        </w:rPr>
        <w:tab/>
      </w:r>
      <w:r w:rsidRPr="009E7141">
        <w:rPr>
          <w:b/>
          <w:noProof/>
          <w:sz w:val="24"/>
          <w:lang w:eastAsia="bg-BG"/>
        </w:rPr>
        <w:tab/>
      </w:r>
      <w:r w:rsidRPr="009E7141">
        <w:rPr>
          <w:b/>
          <w:noProof/>
          <w:sz w:val="24"/>
          <w:lang w:eastAsia="bg-BG"/>
        </w:rPr>
        <w:tab/>
      </w:r>
      <w:r w:rsidRPr="009E7141">
        <w:rPr>
          <w:b/>
          <w:noProof/>
          <w:sz w:val="24"/>
          <w:lang w:eastAsia="bg-BG"/>
        </w:rPr>
        <w:tab/>
      </w:r>
      <w:r w:rsidRPr="009E7141">
        <w:rPr>
          <w:b/>
          <w:noProof/>
          <w:sz w:val="24"/>
          <w:lang w:eastAsia="bg-BG"/>
        </w:rPr>
        <w:tab/>
      </w:r>
      <w:r w:rsidRPr="009E7141">
        <w:rPr>
          <w:b/>
          <w:noProof/>
          <w:sz w:val="24"/>
        </w:rPr>
        <w:t xml:space="preserve"> </w:t>
      </w:r>
    </w:p>
    <w:p w:rsidR="00DE42F3" w:rsidRPr="009E7141" w:rsidRDefault="00BF01B5" w:rsidP="00E10E42">
      <w:pPr>
        <w:ind w:firstLine="720"/>
        <w:jc w:val="both"/>
        <w:rPr>
          <w:b/>
          <w:noProof/>
          <w:sz w:val="24"/>
        </w:rPr>
      </w:pPr>
      <w:r w:rsidRPr="009E7141">
        <w:rPr>
          <w:b/>
          <w:noProof/>
          <w:sz w:val="24"/>
        </w:rPr>
        <w:t xml:space="preserve">В първичната извънболнична помощ.  </w:t>
      </w:r>
    </w:p>
    <w:p w:rsidR="00E10E42" w:rsidRPr="009E7141" w:rsidRDefault="00E10E42" w:rsidP="00E10E42">
      <w:pPr>
        <w:jc w:val="both"/>
        <w:rPr>
          <w:b/>
          <w:noProof/>
          <w:sz w:val="24"/>
        </w:rPr>
      </w:pPr>
    </w:p>
    <w:p w:rsidR="00DE42F3" w:rsidRPr="009E7141" w:rsidRDefault="00DE42F3" w:rsidP="00E10E42">
      <w:pPr>
        <w:ind w:firstLine="720"/>
        <w:jc w:val="both"/>
        <w:rPr>
          <w:noProof/>
          <w:sz w:val="24"/>
        </w:rPr>
      </w:pPr>
      <w:r w:rsidRPr="009E7141">
        <w:rPr>
          <w:b/>
          <w:noProof/>
          <w:sz w:val="24"/>
        </w:rPr>
        <w:t>При общопрактикуващите лекари</w:t>
      </w:r>
      <w:r w:rsidRPr="009E7141">
        <w:rPr>
          <w:noProof/>
          <w:sz w:val="24"/>
        </w:rPr>
        <w:t xml:space="preserve"> броят им (139) надвишава  определения в Областната здравна карта брой на база населението на областта. Предлагаме да се запази,</w:t>
      </w:r>
      <w:r w:rsidR="00E10E42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 xml:space="preserve">като се аргументираме с географските особености на региона. </w:t>
      </w:r>
    </w:p>
    <w:p w:rsidR="00DE42F3" w:rsidRPr="009E7141" w:rsidRDefault="000F6A4F" w:rsidP="00DE42F3">
      <w:pPr>
        <w:jc w:val="both"/>
        <w:rPr>
          <w:noProof/>
          <w:sz w:val="24"/>
        </w:rPr>
      </w:pPr>
      <w:r w:rsidRPr="009E7141">
        <w:rPr>
          <w:noProof/>
          <w:sz w:val="24"/>
        </w:rPr>
        <w:t>Р</w:t>
      </w:r>
      <w:r w:rsidR="00DE42F3" w:rsidRPr="009E7141">
        <w:rPr>
          <w:noProof/>
          <w:sz w:val="24"/>
        </w:rPr>
        <w:t>азположени</w:t>
      </w:r>
      <w:r w:rsidRPr="009E7141">
        <w:rPr>
          <w:noProof/>
          <w:sz w:val="24"/>
        </w:rPr>
        <w:t>те</w:t>
      </w:r>
      <w:r w:rsidR="00DE42F3" w:rsidRPr="009E7141">
        <w:rPr>
          <w:noProof/>
          <w:sz w:val="24"/>
        </w:rPr>
        <w:t xml:space="preserve"> на голяма територия</w:t>
      </w:r>
      <w:r w:rsidRPr="009E7141">
        <w:rPr>
          <w:noProof/>
          <w:sz w:val="24"/>
        </w:rPr>
        <w:t xml:space="preserve"> общини</w:t>
      </w:r>
      <w:r w:rsidR="00DE42F3" w:rsidRPr="009E7141">
        <w:rPr>
          <w:noProof/>
          <w:sz w:val="24"/>
        </w:rPr>
        <w:t>, с незадоволителна инфраструктура и лошите климатични условия през зимата са предпоставка за възпрепятстване на достъпа на част от населението до медицинска помощ.</w:t>
      </w:r>
    </w:p>
    <w:p w:rsidR="00DE42F3" w:rsidRPr="009E7141" w:rsidRDefault="00DE42F3" w:rsidP="00E10E42">
      <w:pPr>
        <w:ind w:firstLine="720"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Има населени места</w:t>
      </w:r>
      <w:r w:rsidR="00404ED1" w:rsidRPr="009E7141">
        <w:rPr>
          <w:noProof/>
          <w:sz w:val="24"/>
        </w:rPr>
        <w:t>,</w:t>
      </w:r>
      <w:r w:rsidRPr="009E7141">
        <w:rPr>
          <w:noProof/>
          <w:sz w:val="24"/>
        </w:rPr>
        <w:t>отдалечени на повече от 40 км. от лечебно заведение за специализирана</w:t>
      </w:r>
      <w:r w:rsidR="000F6A4F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и за болнична помощ</w:t>
      </w:r>
      <w:r w:rsidR="00404ED1" w:rsidRPr="009E7141">
        <w:rPr>
          <w:noProof/>
          <w:sz w:val="24"/>
        </w:rPr>
        <w:t>.З</w:t>
      </w:r>
      <w:r w:rsidRPr="009E7141">
        <w:rPr>
          <w:noProof/>
          <w:sz w:val="24"/>
        </w:rPr>
        <w:t xml:space="preserve">апазвайки броя на общопрактикуващите лекари създаваме достъпност на населението до медицински услуги. Съобразявайки се с  възрастовата  структура на областта, виждаме увеличение на относителният дял на лицата над 60-годишна възраст и намаляване делът на децата до 17 годишна възраст. Особено силно е изразено застаряването на населението в селата, където повече от 30% са хора над 60-годишна възраст. </w:t>
      </w:r>
      <w:r w:rsidRPr="009E7141">
        <w:rPr>
          <w:b/>
          <w:noProof/>
          <w:sz w:val="24"/>
        </w:rPr>
        <w:t>Поради изброените обстоятелства запазваме наличния брой общопрактикуващи лекари и разпределението им по населени места.</w:t>
      </w:r>
    </w:p>
    <w:p w:rsidR="004A3087" w:rsidRPr="009E7141" w:rsidRDefault="004A3087" w:rsidP="00E10E42">
      <w:pPr>
        <w:ind w:firstLine="720"/>
        <w:jc w:val="both"/>
        <w:rPr>
          <w:b/>
          <w:noProof/>
          <w:sz w:val="24"/>
        </w:rPr>
      </w:pPr>
    </w:p>
    <w:p w:rsidR="00404ED1" w:rsidRPr="009E7141" w:rsidRDefault="00DE42F3" w:rsidP="00E10E42">
      <w:pPr>
        <w:ind w:firstLine="720"/>
        <w:jc w:val="both"/>
        <w:rPr>
          <w:noProof/>
          <w:sz w:val="24"/>
        </w:rPr>
      </w:pPr>
      <w:r w:rsidRPr="009E7141">
        <w:rPr>
          <w:b/>
          <w:noProof/>
          <w:sz w:val="24"/>
        </w:rPr>
        <w:t>При лекарите по дентална медицина</w:t>
      </w:r>
      <w:r w:rsidR="00723698" w:rsidRPr="009E7141">
        <w:rPr>
          <w:noProof/>
          <w:sz w:val="24"/>
        </w:rPr>
        <w:t>.</w:t>
      </w:r>
    </w:p>
    <w:p w:rsidR="00E10E42" w:rsidRPr="009E7141" w:rsidRDefault="00E10E42" w:rsidP="00DE42F3">
      <w:pPr>
        <w:jc w:val="both"/>
        <w:rPr>
          <w:noProof/>
          <w:sz w:val="24"/>
        </w:rPr>
      </w:pPr>
    </w:p>
    <w:p w:rsidR="00404ED1" w:rsidRPr="009E7141" w:rsidRDefault="00404ED1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Броят</w:t>
      </w:r>
      <w:r w:rsidR="00723698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на работещите в област Добрич дентални лекари е 131.</w:t>
      </w:r>
      <w:r w:rsidR="00E10E42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Определеният по  методиката необходим минимален брой лекари по дентална медицина е 183</w:t>
      </w:r>
      <w:r w:rsidR="00723698" w:rsidRPr="009E7141">
        <w:rPr>
          <w:noProof/>
          <w:sz w:val="24"/>
        </w:rPr>
        <w:t>.</w:t>
      </w:r>
    </w:p>
    <w:p w:rsidR="00DE42F3" w:rsidRPr="009E7141" w:rsidRDefault="00723698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</w:t>
      </w:r>
      <w:r w:rsidR="00DE42F3" w:rsidRPr="009E7141">
        <w:rPr>
          <w:noProof/>
          <w:sz w:val="24"/>
        </w:rPr>
        <w:t>ор</w:t>
      </w:r>
      <w:r w:rsidR="00DA39C4" w:rsidRPr="009E7141">
        <w:rPr>
          <w:noProof/>
          <w:sz w:val="24"/>
        </w:rPr>
        <w:t xml:space="preserve">ади фактора недостиг на кадри в </w:t>
      </w:r>
      <w:r w:rsidR="00DE42F3" w:rsidRPr="009E7141">
        <w:rPr>
          <w:noProof/>
          <w:sz w:val="24"/>
        </w:rPr>
        <w:t>здравеопазването на национално ниво, респективно в област Добрич</w:t>
      </w:r>
      <w:r w:rsidR="00DA39C4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недостигат 52 дентални лекати, спрямо показателите за минимална</w:t>
      </w:r>
      <w:r w:rsidR="00DA39C4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осигуреност</w:t>
      </w:r>
      <w:r w:rsidR="00DE42F3" w:rsidRPr="009E7141">
        <w:rPr>
          <w:noProof/>
          <w:sz w:val="24"/>
        </w:rPr>
        <w:t>.</w:t>
      </w:r>
      <w:r w:rsidR="00E10E42" w:rsidRPr="009E7141">
        <w:rPr>
          <w:noProof/>
          <w:sz w:val="24"/>
        </w:rPr>
        <w:t xml:space="preserve"> </w:t>
      </w:r>
      <w:r w:rsidR="00DE42F3" w:rsidRPr="009E7141">
        <w:rPr>
          <w:noProof/>
          <w:sz w:val="24"/>
        </w:rPr>
        <w:t>По искане на Регионалната колегия на Българския зъболекарски съюз</w:t>
      </w:r>
      <w:r w:rsidR="00E10E42" w:rsidRPr="009E7141">
        <w:rPr>
          <w:noProof/>
          <w:sz w:val="24"/>
        </w:rPr>
        <w:t xml:space="preserve"> </w:t>
      </w:r>
      <w:r w:rsidR="00DE42F3" w:rsidRPr="009E7141">
        <w:rPr>
          <w:noProof/>
          <w:sz w:val="24"/>
        </w:rPr>
        <w:t>- Добрич добавяме само</w:t>
      </w:r>
      <w:r w:rsidR="00E10E42" w:rsidRPr="009E7141">
        <w:rPr>
          <w:noProof/>
          <w:sz w:val="24"/>
        </w:rPr>
        <w:t xml:space="preserve"> </w:t>
      </w:r>
      <w:r w:rsidR="00DE42F3" w:rsidRPr="009E7141">
        <w:rPr>
          <w:noProof/>
          <w:sz w:val="24"/>
        </w:rPr>
        <w:t>1</w:t>
      </w:r>
      <w:r w:rsidR="00DA39C4" w:rsidRPr="009E7141">
        <w:rPr>
          <w:noProof/>
          <w:sz w:val="24"/>
        </w:rPr>
        <w:t>2</w:t>
      </w:r>
      <w:r w:rsidR="00DE42F3" w:rsidRPr="009E7141">
        <w:rPr>
          <w:noProof/>
          <w:sz w:val="24"/>
        </w:rPr>
        <w:t xml:space="preserve"> бр. лекари по дентална медицина,</w:t>
      </w:r>
      <w:r w:rsidR="00E10E42" w:rsidRPr="009E7141">
        <w:rPr>
          <w:noProof/>
          <w:sz w:val="24"/>
        </w:rPr>
        <w:t xml:space="preserve"> </w:t>
      </w:r>
      <w:r w:rsidR="00DE42F3" w:rsidRPr="009E7141">
        <w:rPr>
          <w:noProof/>
          <w:sz w:val="24"/>
        </w:rPr>
        <w:t>към реално съществуващият 131</w:t>
      </w:r>
      <w:r w:rsidR="00E10E42" w:rsidRPr="009E7141">
        <w:rPr>
          <w:noProof/>
          <w:sz w:val="24"/>
        </w:rPr>
        <w:t xml:space="preserve"> </w:t>
      </w:r>
      <w:r w:rsidR="00DE42F3" w:rsidRPr="009E7141">
        <w:rPr>
          <w:noProof/>
          <w:sz w:val="24"/>
        </w:rPr>
        <w:t>брой, което формира 78,22 осигуреност на 100 000 души. Въпреки оптималната осигуреност за областта остава неравномерното разпределение на лекарите по дентална медицина по общини. Така например най-голямата по територия община Добрич селска остава с осигуреност под 50%.</w:t>
      </w:r>
    </w:p>
    <w:p w:rsidR="00DE42F3" w:rsidRPr="009E7141" w:rsidRDefault="00DE42F3" w:rsidP="00DE42F3">
      <w:pPr>
        <w:jc w:val="both"/>
        <w:rPr>
          <w:noProof/>
          <w:sz w:val="24"/>
        </w:rPr>
      </w:pPr>
    </w:p>
    <w:p w:rsidR="00BF01B5" w:rsidRPr="009E7141" w:rsidRDefault="00BF01B5" w:rsidP="00BF01B5">
      <w:pPr>
        <w:jc w:val="both"/>
        <w:rPr>
          <w:b/>
          <w:noProof/>
          <w:sz w:val="24"/>
          <w:lang w:eastAsia="bg-BG"/>
        </w:rPr>
      </w:pPr>
      <w:r w:rsidRPr="009E7141">
        <w:rPr>
          <w:b/>
          <w:noProof/>
          <w:sz w:val="24"/>
          <w:lang w:eastAsia="bg-BG"/>
        </w:rPr>
        <w:t xml:space="preserve"> </w:t>
      </w:r>
      <w:r w:rsidR="004A3087" w:rsidRPr="009E7141">
        <w:rPr>
          <w:b/>
          <w:noProof/>
          <w:sz w:val="24"/>
          <w:lang w:eastAsia="bg-BG"/>
        </w:rPr>
        <w:tab/>
      </w:r>
      <w:r w:rsidRPr="009E7141">
        <w:rPr>
          <w:b/>
          <w:noProof/>
          <w:sz w:val="24"/>
          <w:lang w:eastAsia="bg-BG"/>
        </w:rPr>
        <w:t xml:space="preserve"> Приложение 3-3</w:t>
      </w:r>
    </w:p>
    <w:p w:rsidR="00BF01B5" w:rsidRPr="009E7141" w:rsidRDefault="00BF01B5" w:rsidP="00DE42F3">
      <w:pPr>
        <w:jc w:val="both"/>
        <w:rPr>
          <w:noProof/>
          <w:sz w:val="24"/>
        </w:rPr>
      </w:pPr>
    </w:p>
    <w:p w:rsidR="00DE42F3" w:rsidRPr="009E7141" w:rsidRDefault="00DE42F3" w:rsidP="00E10E42">
      <w:pPr>
        <w:ind w:firstLine="720"/>
        <w:jc w:val="both"/>
        <w:rPr>
          <w:b/>
          <w:noProof/>
          <w:sz w:val="24"/>
        </w:rPr>
      </w:pPr>
      <w:r w:rsidRPr="009E7141">
        <w:rPr>
          <w:b/>
          <w:noProof/>
          <w:sz w:val="24"/>
        </w:rPr>
        <w:t>При специалистите по здравни грижи.</w:t>
      </w:r>
    </w:p>
    <w:p w:rsidR="00E10E42" w:rsidRPr="009E7141" w:rsidRDefault="00E10E42" w:rsidP="00E10E42">
      <w:pPr>
        <w:ind w:firstLine="720"/>
        <w:jc w:val="both"/>
        <w:rPr>
          <w:b/>
          <w:noProof/>
          <w:sz w:val="24"/>
        </w:rPr>
      </w:pPr>
    </w:p>
    <w:p w:rsidR="00DE42F3" w:rsidRPr="009E7141" w:rsidRDefault="00DE42F3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В първичната и специализираната извънболнична медицинска помощ </w:t>
      </w:r>
      <w:r w:rsidR="00D25132" w:rsidRPr="009E7141">
        <w:rPr>
          <w:noProof/>
          <w:sz w:val="24"/>
        </w:rPr>
        <w:t xml:space="preserve">към момента </w:t>
      </w:r>
      <w:r w:rsidRPr="009E7141">
        <w:rPr>
          <w:noProof/>
          <w:sz w:val="24"/>
        </w:rPr>
        <w:t>работят общо 203</w:t>
      </w:r>
      <w:r w:rsidRPr="009E7141">
        <w:rPr>
          <w:b/>
          <w:noProof/>
          <w:sz w:val="24"/>
        </w:rPr>
        <w:t xml:space="preserve"> </w:t>
      </w:r>
      <w:r w:rsidRPr="009E7141">
        <w:rPr>
          <w:noProof/>
          <w:sz w:val="24"/>
        </w:rPr>
        <w:t>специалиста по здравни грижи.</w:t>
      </w:r>
    </w:p>
    <w:p w:rsidR="00DE42F3" w:rsidRPr="009E7141" w:rsidRDefault="00DE42F3" w:rsidP="00E10E42">
      <w:pPr>
        <w:ind w:firstLine="720"/>
        <w:jc w:val="both"/>
        <w:rPr>
          <w:rStyle w:val="FontStyle113"/>
          <w:noProof/>
          <w:sz w:val="24"/>
          <w:szCs w:val="24"/>
        </w:rPr>
      </w:pPr>
      <w:r w:rsidRPr="009E7141">
        <w:rPr>
          <w:rStyle w:val="FontStyle113"/>
          <w:noProof/>
          <w:sz w:val="24"/>
          <w:szCs w:val="24"/>
        </w:rPr>
        <w:t>Необходимият минимален брой на специалистите от професионално направление „Здравни грижи" в извънболничната медицинска помощ определен по методиката е 318.</w:t>
      </w:r>
    </w:p>
    <w:p w:rsidR="00DE42F3" w:rsidRPr="009E7141" w:rsidRDefault="00DE42F3" w:rsidP="00E10E42">
      <w:pPr>
        <w:ind w:firstLine="720"/>
        <w:jc w:val="both"/>
        <w:rPr>
          <w:noProof/>
          <w:sz w:val="24"/>
        </w:rPr>
      </w:pPr>
      <w:r w:rsidRPr="009E7141">
        <w:rPr>
          <w:rStyle w:val="FontStyle113"/>
          <w:noProof/>
          <w:sz w:val="24"/>
          <w:szCs w:val="24"/>
        </w:rPr>
        <w:lastRenderedPageBreak/>
        <w:t>Налице е недостиг на работещите специалистите</w:t>
      </w:r>
      <w:r w:rsidRPr="009E7141">
        <w:rPr>
          <w:noProof/>
          <w:sz w:val="24"/>
        </w:rPr>
        <w:t xml:space="preserve"> по здравни грижи спрямо</w:t>
      </w:r>
      <w:r w:rsidRPr="009E7141">
        <w:rPr>
          <w:rStyle w:val="FontStyle113"/>
          <w:noProof/>
          <w:sz w:val="24"/>
          <w:szCs w:val="24"/>
        </w:rPr>
        <w:t xml:space="preserve"> необходимият минимален брой по методиката.Този дефицит не може да бъде компенсиран поради липсата на такива кадри в здравеопазването.</w:t>
      </w:r>
    </w:p>
    <w:p w:rsidR="00DE42F3" w:rsidRPr="009E7141" w:rsidRDefault="00DE42F3" w:rsidP="00DE42F3">
      <w:pPr>
        <w:rPr>
          <w:b/>
          <w:noProof/>
          <w:sz w:val="24"/>
        </w:rPr>
      </w:pPr>
    </w:p>
    <w:p w:rsidR="00235C5E" w:rsidRPr="009E7141" w:rsidRDefault="00235C5E" w:rsidP="004A3087">
      <w:pPr>
        <w:ind w:firstLine="720"/>
        <w:jc w:val="both"/>
        <w:rPr>
          <w:b/>
          <w:noProof/>
          <w:sz w:val="24"/>
        </w:rPr>
      </w:pPr>
      <w:r w:rsidRPr="009E7141">
        <w:rPr>
          <w:b/>
          <w:noProof/>
          <w:sz w:val="24"/>
        </w:rPr>
        <w:t>Приложение 2-1, Приложение 2-2</w:t>
      </w:r>
    </w:p>
    <w:p w:rsidR="006939E9" w:rsidRPr="009E7141" w:rsidRDefault="006939E9" w:rsidP="00895CED">
      <w:pPr>
        <w:jc w:val="both"/>
        <w:rPr>
          <w:noProof/>
          <w:sz w:val="24"/>
        </w:rPr>
      </w:pPr>
    </w:p>
    <w:p w:rsidR="00C968AA" w:rsidRPr="009E7141" w:rsidRDefault="00F22E00" w:rsidP="00E10E42">
      <w:pPr>
        <w:ind w:firstLine="720"/>
        <w:rPr>
          <w:noProof/>
          <w:sz w:val="24"/>
        </w:rPr>
      </w:pPr>
      <w:r w:rsidRPr="009E7141">
        <w:rPr>
          <w:b/>
          <w:noProof/>
          <w:sz w:val="24"/>
        </w:rPr>
        <w:t>Предложение за разпределение на леглата</w:t>
      </w:r>
      <w:r w:rsidRPr="009E7141">
        <w:rPr>
          <w:noProof/>
          <w:sz w:val="24"/>
        </w:rPr>
        <w:t xml:space="preserve"> </w:t>
      </w:r>
      <w:r w:rsidR="00C968AA" w:rsidRPr="009E7141">
        <w:rPr>
          <w:noProof/>
          <w:sz w:val="24"/>
        </w:rPr>
        <w:t>–</w:t>
      </w:r>
      <w:r w:rsidRPr="009E7141">
        <w:rPr>
          <w:noProof/>
          <w:sz w:val="24"/>
        </w:rPr>
        <w:t xml:space="preserve"> </w:t>
      </w:r>
    </w:p>
    <w:p w:rsidR="00E10E42" w:rsidRPr="009E7141" w:rsidRDefault="00E10E42" w:rsidP="00E10E42">
      <w:pPr>
        <w:ind w:firstLine="720"/>
        <w:rPr>
          <w:noProof/>
          <w:sz w:val="24"/>
        </w:rPr>
      </w:pPr>
    </w:p>
    <w:p w:rsidR="00CE34A1" w:rsidRPr="009E7141" w:rsidRDefault="00C968A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При планиране на потребностите от легла за болнично лечение </w:t>
      </w:r>
      <w:r w:rsidRPr="009E7141">
        <w:rPr>
          <w:b/>
          <w:noProof/>
          <w:sz w:val="24"/>
        </w:rPr>
        <w:t>по видове</w:t>
      </w:r>
      <w:r w:rsidRPr="009E7141">
        <w:rPr>
          <w:noProof/>
          <w:sz w:val="24"/>
        </w:rPr>
        <w:t xml:space="preserve"> приемаме за оптимална</w:t>
      </w:r>
      <w:r w:rsidRPr="009E7141">
        <w:rPr>
          <w:b/>
          <w:noProof/>
          <w:sz w:val="24"/>
        </w:rPr>
        <w:t xml:space="preserve"> </w:t>
      </w:r>
      <w:r w:rsidRPr="009E7141">
        <w:rPr>
          <w:noProof/>
          <w:sz w:val="24"/>
        </w:rPr>
        <w:t xml:space="preserve">осигуреност </w:t>
      </w:r>
      <w:r w:rsidRPr="009E7141">
        <w:rPr>
          <w:b/>
          <w:noProof/>
          <w:sz w:val="24"/>
        </w:rPr>
        <w:t>4,0 на 1000</w:t>
      </w:r>
      <w:r w:rsidRPr="009E7141">
        <w:rPr>
          <w:noProof/>
          <w:sz w:val="24"/>
        </w:rPr>
        <w:t xml:space="preserve"> за населението на област  Добрич  - 182 808 души</w:t>
      </w:r>
      <w:r w:rsidR="004E4AFF" w:rsidRPr="009E7141">
        <w:rPr>
          <w:noProof/>
          <w:sz w:val="24"/>
        </w:rPr>
        <w:t xml:space="preserve"> – </w:t>
      </w:r>
      <w:r w:rsidR="004E4AFF" w:rsidRPr="009E7141">
        <w:rPr>
          <w:b/>
          <w:noProof/>
          <w:sz w:val="24"/>
        </w:rPr>
        <w:t>731 легла</w:t>
      </w:r>
      <w:r w:rsidRPr="009E7141">
        <w:rPr>
          <w:noProof/>
          <w:sz w:val="24"/>
        </w:rPr>
        <w:t>.</w:t>
      </w:r>
      <w:r w:rsidR="004E4AFF" w:rsidRPr="009E7141">
        <w:rPr>
          <w:noProof/>
          <w:sz w:val="24"/>
        </w:rPr>
        <w:t xml:space="preserve"> </w:t>
      </w:r>
      <w:r w:rsidR="00CE34A1" w:rsidRPr="009E7141">
        <w:rPr>
          <w:noProof/>
          <w:sz w:val="24"/>
        </w:rPr>
        <w:t xml:space="preserve">След извършена корекция с различните </w:t>
      </w:r>
      <w:r w:rsidR="009818C8" w:rsidRPr="009E7141">
        <w:rPr>
          <w:noProof/>
          <w:sz w:val="24"/>
        </w:rPr>
        <w:t xml:space="preserve">интегрални коригиращи коефициенти се получава общ брой легла – </w:t>
      </w:r>
      <w:r w:rsidR="009818C8" w:rsidRPr="009E7141">
        <w:rPr>
          <w:b/>
          <w:noProof/>
          <w:sz w:val="24"/>
        </w:rPr>
        <w:t xml:space="preserve">1072 </w:t>
      </w:r>
      <w:r w:rsidR="009818C8" w:rsidRPr="009E7141">
        <w:rPr>
          <w:noProof/>
          <w:sz w:val="24"/>
        </w:rPr>
        <w:t>за областта.</w:t>
      </w:r>
    </w:p>
    <w:p w:rsidR="00CE34A1" w:rsidRPr="009E7141" w:rsidRDefault="00CE34A1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Общия </w:t>
      </w:r>
      <w:r w:rsidR="009818C8" w:rsidRPr="009E7141">
        <w:rPr>
          <w:noProof/>
          <w:sz w:val="24"/>
        </w:rPr>
        <w:t>брой</w:t>
      </w:r>
      <w:r w:rsidRPr="009E7141">
        <w:rPr>
          <w:noProof/>
          <w:sz w:val="24"/>
        </w:rPr>
        <w:t xml:space="preserve"> легла са на осигуреност </w:t>
      </w:r>
      <w:r w:rsidRPr="009E7141">
        <w:rPr>
          <w:b/>
          <w:noProof/>
          <w:sz w:val="24"/>
        </w:rPr>
        <w:t>5,8 на 1000</w:t>
      </w:r>
      <w:r w:rsidRPr="009E7141">
        <w:rPr>
          <w:noProof/>
          <w:sz w:val="24"/>
        </w:rPr>
        <w:t xml:space="preserve"> за населението от областта.</w:t>
      </w:r>
    </w:p>
    <w:p w:rsidR="00BA4F45" w:rsidRPr="009E7141" w:rsidRDefault="00BA4F45" w:rsidP="00C968AA">
      <w:pPr>
        <w:jc w:val="both"/>
        <w:rPr>
          <w:noProof/>
          <w:sz w:val="24"/>
        </w:rPr>
      </w:pPr>
    </w:p>
    <w:p w:rsidR="00440834" w:rsidRPr="009E7141" w:rsidRDefault="00440834" w:rsidP="00E10E42">
      <w:pPr>
        <w:ind w:firstLine="720"/>
        <w:jc w:val="both"/>
        <w:rPr>
          <w:noProof/>
          <w:sz w:val="24"/>
        </w:rPr>
      </w:pPr>
      <w:r w:rsidRPr="009E7141">
        <w:rPr>
          <w:b/>
          <w:noProof/>
          <w:sz w:val="24"/>
        </w:rPr>
        <w:t>Броят</w:t>
      </w:r>
      <w:r w:rsidRPr="009E7141">
        <w:rPr>
          <w:noProof/>
          <w:sz w:val="24"/>
        </w:rPr>
        <w:t xml:space="preserve"> </w:t>
      </w:r>
      <w:r w:rsidRPr="009E7141">
        <w:rPr>
          <w:b/>
          <w:noProof/>
          <w:sz w:val="24"/>
        </w:rPr>
        <w:t>на съществуващите легла</w:t>
      </w:r>
      <w:r w:rsidRPr="009E7141">
        <w:rPr>
          <w:noProof/>
          <w:sz w:val="24"/>
        </w:rPr>
        <w:t xml:space="preserve"> за болнично лечение </w:t>
      </w:r>
      <w:r w:rsidRPr="009E7141">
        <w:rPr>
          <w:b/>
          <w:noProof/>
          <w:sz w:val="24"/>
        </w:rPr>
        <w:t>по видове</w:t>
      </w:r>
      <w:r w:rsidRPr="009E7141">
        <w:rPr>
          <w:noProof/>
          <w:sz w:val="24"/>
        </w:rPr>
        <w:t xml:space="preserve"> е както следва:</w:t>
      </w:r>
    </w:p>
    <w:p w:rsidR="00440834" w:rsidRPr="009E7141" w:rsidRDefault="00440834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Активни </w:t>
      </w:r>
      <w:r w:rsidR="00BA4F45" w:rsidRPr="009E7141">
        <w:rPr>
          <w:noProof/>
          <w:sz w:val="24"/>
        </w:rPr>
        <w:t>–</w:t>
      </w:r>
      <w:r w:rsidRPr="009E7141">
        <w:rPr>
          <w:noProof/>
          <w:sz w:val="24"/>
        </w:rPr>
        <w:t xml:space="preserve"> 454</w:t>
      </w:r>
      <w:r w:rsidR="00BA4F45" w:rsidRPr="009E7141">
        <w:rPr>
          <w:noProof/>
          <w:sz w:val="24"/>
        </w:rPr>
        <w:t xml:space="preserve"> в т</w:t>
      </w:r>
      <w:r w:rsidR="009D25F3" w:rsidRPr="009E7141">
        <w:rPr>
          <w:noProof/>
          <w:sz w:val="24"/>
        </w:rPr>
        <w:t>.</w:t>
      </w:r>
      <w:r w:rsidR="00BA4F45" w:rsidRPr="009E7141">
        <w:rPr>
          <w:noProof/>
          <w:sz w:val="24"/>
        </w:rPr>
        <w:t>число</w:t>
      </w:r>
    </w:p>
    <w:p w:rsidR="00BA4F45" w:rsidRPr="009E7141" w:rsidRDefault="00BA4F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Интензивни - 8</w:t>
      </w:r>
    </w:p>
    <w:p w:rsidR="00440834" w:rsidRPr="009E7141" w:rsidRDefault="00BA4F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Терапевтични - 236</w:t>
      </w:r>
    </w:p>
    <w:p w:rsidR="00440834" w:rsidRPr="009E7141" w:rsidRDefault="00BA4F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Хирургични – 91</w:t>
      </w:r>
    </w:p>
    <w:p w:rsidR="00BA4F45" w:rsidRPr="009E7141" w:rsidRDefault="00BA4F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Педиатрични – 71</w:t>
      </w:r>
    </w:p>
    <w:p w:rsidR="00BA4F45" w:rsidRPr="009E7141" w:rsidRDefault="00BA4F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АГ - 48</w:t>
      </w:r>
    </w:p>
    <w:p w:rsidR="00440834" w:rsidRPr="009E7141" w:rsidRDefault="00BA4F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Други   - 258 в т.число</w:t>
      </w:r>
    </w:p>
    <w:p w:rsidR="00E55977" w:rsidRPr="009E7141" w:rsidRDefault="00E55977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color w:val="000000"/>
          <w:sz w:val="24"/>
          <w:lang w:eastAsia="bg-BG"/>
        </w:rPr>
        <w:t xml:space="preserve">Дългосрочни грижи -  </w:t>
      </w:r>
    </w:p>
    <w:p w:rsidR="00440834" w:rsidRPr="009E7141" w:rsidRDefault="00BA4F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Психиатрични - 180</w:t>
      </w:r>
    </w:p>
    <w:p w:rsidR="00440834" w:rsidRPr="009E7141" w:rsidRDefault="00BA4F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color w:val="000000"/>
          <w:sz w:val="24"/>
          <w:lang w:eastAsia="bg-BG"/>
        </w:rPr>
        <w:t>Физиотерапия и рехабилитация - 78</w:t>
      </w:r>
    </w:p>
    <w:p w:rsidR="00440834" w:rsidRPr="009E7141" w:rsidRDefault="00BA4F45" w:rsidP="00E10E42">
      <w:pPr>
        <w:ind w:firstLine="720"/>
        <w:jc w:val="both"/>
        <w:rPr>
          <w:b/>
          <w:noProof/>
          <w:sz w:val="24"/>
        </w:rPr>
      </w:pPr>
      <w:r w:rsidRPr="009E7141">
        <w:rPr>
          <w:noProof/>
          <w:sz w:val="24"/>
        </w:rPr>
        <w:t xml:space="preserve">Общ брой легла </w:t>
      </w:r>
      <w:r w:rsidR="001F2E34" w:rsidRPr="009E7141">
        <w:rPr>
          <w:noProof/>
          <w:sz w:val="24"/>
        </w:rPr>
        <w:t>–</w:t>
      </w:r>
      <w:r w:rsidRPr="009E7141">
        <w:rPr>
          <w:noProof/>
          <w:sz w:val="24"/>
        </w:rPr>
        <w:t xml:space="preserve"> </w:t>
      </w:r>
      <w:r w:rsidRPr="009E7141">
        <w:rPr>
          <w:b/>
          <w:noProof/>
          <w:sz w:val="24"/>
        </w:rPr>
        <w:t>712</w:t>
      </w:r>
      <w:r w:rsidR="001F2E34" w:rsidRPr="009E7141">
        <w:rPr>
          <w:b/>
          <w:noProof/>
          <w:sz w:val="24"/>
        </w:rPr>
        <w:t xml:space="preserve">   </w:t>
      </w:r>
    </w:p>
    <w:p w:rsidR="00E10E42" w:rsidRPr="009E7141" w:rsidRDefault="00E10E42" w:rsidP="00E10E42">
      <w:pPr>
        <w:ind w:firstLine="720"/>
        <w:jc w:val="both"/>
        <w:rPr>
          <w:b/>
          <w:noProof/>
          <w:sz w:val="24"/>
        </w:rPr>
      </w:pPr>
    </w:p>
    <w:p w:rsidR="009D25F3" w:rsidRPr="009E7141" w:rsidRDefault="009D25F3" w:rsidP="004A3087">
      <w:pPr>
        <w:ind w:firstLine="720"/>
        <w:jc w:val="both"/>
        <w:rPr>
          <w:rStyle w:val="FontStyle113"/>
          <w:b/>
          <w:noProof/>
          <w:sz w:val="24"/>
          <w:szCs w:val="24"/>
        </w:rPr>
      </w:pPr>
      <w:r w:rsidRPr="009E7141">
        <w:rPr>
          <w:rStyle w:val="FontStyle113"/>
          <w:noProof/>
          <w:sz w:val="24"/>
          <w:szCs w:val="24"/>
        </w:rPr>
        <w:t xml:space="preserve">Разпределението на съществуващите легла </w:t>
      </w:r>
      <w:r w:rsidRPr="009E7141">
        <w:rPr>
          <w:rStyle w:val="FontStyle113"/>
          <w:b/>
          <w:noProof/>
          <w:sz w:val="24"/>
          <w:szCs w:val="24"/>
        </w:rPr>
        <w:t>по нива на компетентност</w:t>
      </w:r>
      <w:r w:rsidRPr="009E7141">
        <w:rPr>
          <w:rStyle w:val="FontStyle113"/>
          <w:noProof/>
          <w:sz w:val="24"/>
          <w:szCs w:val="24"/>
        </w:rPr>
        <w:t xml:space="preserve"> е както следва:</w:t>
      </w:r>
      <w:r w:rsidR="001F2E34" w:rsidRPr="009E7141">
        <w:rPr>
          <w:rStyle w:val="FontStyle113"/>
          <w:noProof/>
          <w:sz w:val="24"/>
          <w:szCs w:val="24"/>
        </w:rPr>
        <w:t xml:space="preserve"> 329 от I</w:t>
      </w:r>
      <w:r w:rsidR="001F2E34"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 xml:space="preserve"> </w:t>
      </w:r>
      <w:r w:rsidR="001F2E34" w:rsidRPr="009E7141">
        <w:rPr>
          <w:rStyle w:val="FontStyle113"/>
          <w:b/>
          <w:noProof/>
          <w:sz w:val="24"/>
          <w:szCs w:val="24"/>
        </w:rPr>
        <w:t xml:space="preserve"> </w:t>
      </w:r>
      <w:r w:rsidR="001F2E34" w:rsidRPr="009E7141">
        <w:rPr>
          <w:rStyle w:val="FontStyle113"/>
          <w:noProof/>
          <w:sz w:val="24"/>
          <w:szCs w:val="24"/>
        </w:rPr>
        <w:t>ниво , 298 от II ниво и 85 от</w:t>
      </w:r>
      <w:r w:rsidR="001F2E34"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>5</w:t>
      </w:r>
      <w:r w:rsidR="001F2E34" w:rsidRPr="009E7141">
        <w:rPr>
          <w:rStyle w:val="FontStyle113"/>
          <w:noProof/>
          <w:sz w:val="24"/>
          <w:szCs w:val="24"/>
        </w:rPr>
        <w:t xml:space="preserve"> III</w:t>
      </w:r>
      <w:r w:rsidR="001F2E34"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 xml:space="preserve"> </w:t>
      </w:r>
      <w:r w:rsidR="001F2E34" w:rsidRPr="009E7141">
        <w:rPr>
          <w:rStyle w:val="FontStyle113"/>
          <w:noProof/>
          <w:sz w:val="24"/>
          <w:szCs w:val="24"/>
        </w:rPr>
        <w:t xml:space="preserve"> ниво</w:t>
      </w:r>
      <w:r w:rsidR="001F2E34"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 xml:space="preserve"> </w:t>
      </w:r>
      <w:r w:rsidR="001F2E34" w:rsidRPr="009E7141">
        <w:rPr>
          <w:rStyle w:val="FontStyle113"/>
          <w:noProof/>
          <w:sz w:val="24"/>
          <w:szCs w:val="24"/>
        </w:rPr>
        <w:t xml:space="preserve">на компетентност </w:t>
      </w:r>
      <w:r w:rsidR="00683D3E" w:rsidRPr="009E7141">
        <w:rPr>
          <w:rStyle w:val="FontStyle113"/>
          <w:noProof/>
          <w:sz w:val="24"/>
          <w:szCs w:val="24"/>
        </w:rPr>
        <w:t>.</w:t>
      </w:r>
      <w:r w:rsidR="001F2E34"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 xml:space="preserve"> </w:t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Cs/>
          <w:noProof/>
          <w:color w:val="FFFFFF"/>
          <w:sz w:val="16"/>
          <w:szCs w:val="16"/>
          <w:lang w:eastAsia="bg-BG"/>
        </w:rPr>
        <w:tab/>
        <w:t>;;</w:t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>ЙКК,Л</w:t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  <w:t>32</w:t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  <w:t>н</w:t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  <w:r w:rsidRPr="009E7141">
        <w:rPr>
          <w:rFonts w:ascii="Calibri" w:hAnsi="Calibri"/>
          <w:b/>
          <w:bCs/>
          <w:noProof/>
          <w:color w:val="FFFFFF"/>
          <w:sz w:val="16"/>
          <w:szCs w:val="16"/>
          <w:lang w:eastAsia="bg-BG"/>
        </w:rPr>
        <w:tab/>
      </w:r>
    </w:p>
    <w:p w:rsidR="00440834" w:rsidRPr="009E7141" w:rsidRDefault="00005D9A" w:rsidP="004A3087">
      <w:pPr>
        <w:ind w:firstLine="720"/>
        <w:jc w:val="both"/>
        <w:rPr>
          <w:b/>
          <w:noProof/>
          <w:sz w:val="24"/>
        </w:rPr>
      </w:pPr>
      <w:r w:rsidRPr="009E7141">
        <w:rPr>
          <w:rStyle w:val="FontStyle113"/>
          <w:b/>
          <w:noProof/>
          <w:sz w:val="24"/>
          <w:szCs w:val="24"/>
        </w:rPr>
        <w:t>И</w:t>
      </w:r>
      <w:r w:rsidR="00BA4F45" w:rsidRPr="009E7141">
        <w:rPr>
          <w:rStyle w:val="FontStyle113"/>
          <w:b/>
          <w:noProof/>
          <w:sz w:val="24"/>
          <w:szCs w:val="24"/>
        </w:rPr>
        <w:t>зчисления</w:t>
      </w:r>
      <w:r w:rsidRPr="009E7141">
        <w:rPr>
          <w:rStyle w:val="FontStyle113"/>
          <w:b/>
          <w:noProof/>
          <w:sz w:val="24"/>
          <w:szCs w:val="24"/>
        </w:rPr>
        <w:t xml:space="preserve"> по методиката </w:t>
      </w:r>
      <w:r w:rsidR="00BA4F45" w:rsidRPr="009E7141">
        <w:rPr>
          <w:rStyle w:val="FontStyle113"/>
          <w:b/>
          <w:noProof/>
          <w:sz w:val="24"/>
          <w:szCs w:val="24"/>
        </w:rPr>
        <w:t xml:space="preserve"> общ брой легла </w:t>
      </w:r>
      <w:r w:rsidR="00BA4F45" w:rsidRPr="009E7141">
        <w:rPr>
          <w:rStyle w:val="FontStyle113"/>
          <w:noProof/>
          <w:sz w:val="24"/>
          <w:szCs w:val="24"/>
        </w:rPr>
        <w:t>за болнично лечение</w:t>
      </w:r>
      <w:r w:rsidR="00BA4F45" w:rsidRPr="009E7141">
        <w:rPr>
          <w:rStyle w:val="FontStyle113"/>
          <w:b/>
          <w:noProof/>
          <w:sz w:val="24"/>
          <w:szCs w:val="24"/>
        </w:rPr>
        <w:t xml:space="preserve"> по видове</w:t>
      </w:r>
      <w:r w:rsidRPr="009E7141">
        <w:rPr>
          <w:noProof/>
          <w:sz w:val="24"/>
        </w:rPr>
        <w:t xml:space="preserve"> </w:t>
      </w:r>
      <w:r w:rsidRPr="009E7141">
        <w:rPr>
          <w:b/>
          <w:noProof/>
          <w:sz w:val="24"/>
        </w:rPr>
        <w:t>е както следва:</w:t>
      </w:r>
    </w:p>
    <w:p w:rsidR="00E10E42" w:rsidRPr="009E7141" w:rsidRDefault="00E10E42" w:rsidP="004A3087">
      <w:pPr>
        <w:ind w:firstLine="720"/>
        <w:jc w:val="both"/>
        <w:rPr>
          <w:b/>
          <w:noProof/>
          <w:sz w:val="24"/>
        </w:rPr>
      </w:pP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Активни – 644 в т</w:t>
      </w:r>
      <w:r w:rsidR="00350F41" w:rsidRPr="009E7141">
        <w:rPr>
          <w:noProof/>
          <w:sz w:val="24"/>
        </w:rPr>
        <w:t>.</w:t>
      </w:r>
      <w:r w:rsidRPr="009E7141">
        <w:rPr>
          <w:noProof/>
          <w:sz w:val="24"/>
        </w:rPr>
        <w:t>число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Интензивни - 35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Терапевтични - 337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Хирургични – 134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Педиатрични – 71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АГ - 67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Други   - 428 в т.число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color w:val="000000"/>
          <w:sz w:val="24"/>
          <w:lang w:eastAsia="bg-BG"/>
        </w:rPr>
        <w:t>Дългосрочни грижи - 140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Психиатрични - 180</w:t>
      </w:r>
    </w:p>
    <w:p w:rsidR="00005D9A" w:rsidRPr="009E7141" w:rsidRDefault="00005D9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color w:val="000000"/>
          <w:sz w:val="24"/>
          <w:lang w:eastAsia="bg-BG"/>
        </w:rPr>
        <w:t>Физиотерапия и рехабилитация - 108</w:t>
      </w:r>
    </w:p>
    <w:p w:rsidR="00005D9A" w:rsidRPr="009E7141" w:rsidRDefault="00005D9A" w:rsidP="00E10E42">
      <w:pPr>
        <w:ind w:firstLine="720"/>
        <w:jc w:val="both"/>
        <w:rPr>
          <w:b/>
          <w:noProof/>
          <w:sz w:val="24"/>
        </w:rPr>
      </w:pPr>
      <w:r w:rsidRPr="009E7141">
        <w:rPr>
          <w:noProof/>
          <w:sz w:val="24"/>
        </w:rPr>
        <w:t xml:space="preserve">Общ брой легла - </w:t>
      </w:r>
      <w:r w:rsidRPr="009E7141">
        <w:rPr>
          <w:b/>
          <w:noProof/>
          <w:sz w:val="24"/>
        </w:rPr>
        <w:t>1072</w:t>
      </w:r>
    </w:p>
    <w:p w:rsidR="00440834" w:rsidRPr="009E7141" w:rsidRDefault="00440834" w:rsidP="00C968AA">
      <w:pPr>
        <w:jc w:val="both"/>
        <w:rPr>
          <w:noProof/>
          <w:sz w:val="24"/>
        </w:rPr>
      </w:pPr>
    </w:p>
    <w:p w:rsidR="00440834" w:rsidRPr="009E7141" w:rsidRDefault="00C55295" w:rsidP="00E10E42">
      <w:pPr>
        <w:ind w:firstLine="720"/>
        <w:jc w:val="both"/>
        <w:rPr>
          <w:noProof/>
          <w:sz w:val="24"/>
        </w:rPr>
      </w:pPr>
      <w:r w:rsidRPr="009E7141">
        <w:rPr>
          <w:b/>
          <w:noProof/>
          <w:sz w:val="24"/>
        </w:rPr>
        <w:t>Налице е</w:t>
      </w:r>
      <w:r w:rsidRPr="009E7141">
        <w:rPr>
          <w:noProof/>
          <w:sz w:val="24"/>
        </w:rPr>
        <w:t xml:space="preserve"> </w:t>
      </w:r>
      <w:r w:rsidRPr="009E7141">
        <w:rPr>
          <w:b/>
          <w:noProof/>
          <w:sz w:val="24"/>
        </w:rPr>
        <w:t>недостиг</w:t>
      </w:r>
      <w:r w:rsidRPr="009E7141">
        <w:rPr>
          <w:noProof/>
          <w:sz w:val="24"/>
        </w:rPr>
        <w:t xml:space="preserve"> на следните видове легла за болнично лечение:</w:t>
      </w:r>
    </w:p>
    <w:p w:rsidR="00C55295" w:rsidRPr="009E7141" w:rsidRDefault="00C5529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Активни – 190 в т</w:t>
      </w:r>
      <w:r w:rsidR="00350F41" w:rsidRPr="009E7141">
        <w:rPr>
          <w:noProof/>
          <w:sz w:val="24"/>
        </w:rPr>
        <w:t>.</w:t>
      </w:r>
      <w:r w:rsidRPr="009E7141">
        <w:rPr>
          <w:noProof/>
          <w:sz w:val="24"/>
        </w:rPr>
        <w:t>число</w:t>
      </w:r>
    </w:p>
    <w:p w:rsidR="00C55295" w:rsidRPr="009E7141" w:rsidRDefault="00C5529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Интензивни - 27</w:t>
      </w:r>
    </w:p>
    <w:p w:rsidR="00C55295" w:rsidRPr="009E7141" w:rsidRDefault="00C5529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lastRenderedPageBreak/>
        <w:t>Терапевтични - 101</w:t>
      </w:r>
    </w:p>
    <w:p w:rsidR="00C55295" w:rsidRPr="009E7141" w:rsidRDefault="00C5529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Хирургични – 43</w:t>
      </w:r>
    </w:p>
    <w:p w:rsidR="00C55295" w:rsidRPr="009E7141" w:rsidRDefault="00E55977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 </w:t>
      </w:r>
      <w:r w:rsidR="00C55295" w:rsidRPr="009E7141">
        <w:rPr>
          <w:noProof/>
          <w:sz w:val="24"/>
        </w:rPr>
        <w:t>АГ - 19</w:t>
      </w:r>
    </w:p>
    <w:p w:rsidR="00C55295" w:rsidRPr="009E7141" w:rsidRDefault="00C5529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Други   </w:t>
      </w:r>
      <w:r w:rsidR="00E55977" w:rsidRPr="009E7141">
        <w:rPr>
          <w:noProof/>
          <w:sz w:val="24"/>
        </w:rPr>
        <w:t xml:space="preserve"> </w:t>
      </w:r>
    </w:p>
    <w:p w:rsidR="00C55295" w:rsidRPr="009E7141" w:rsidRDefault="00C5529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color w:val="000000"/>
          <w:sz w:val="24"/>
          <w:lang w:eastAsia="bg-BG"/>
        </w:rPr>
        <w:t>Дългосрочни грижи - 140</w:t>
      </w:r>
    </w:p>
    <w:p w:rsidR="00C55295" w:rsidRPr="009E7141" w:rsidRDefault="00C5529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color w:val="000000"/>
          <w:sz w:val="24"/>
          <w:lang w:eastAsia="bg-BG"/>
        </w:rPr>
        <w:t xml:space="preserve">Физиотерапия и рехабилитация - </w:t>
      </w:r>
      <w:r w:rsidR="00E55977" w:rsidRPr="009E7141">
        <w:rPr>
          <w:noProof/>
          <w:color w:val="000000"/>
          <w:sz w:val="24"/>
          <w:lang w:eastAsia="bg-BG"/>
        </w:rPr>
        <w:t>30</w:t>
      </w:r>
    </w:p>
    <w:p w:rsidR="00440834" w:rsidRPr="009E7141" w:rsidRDefault="00E55977" w:rsidP="00E10E42">
      <w:pPr>
        <w:ind w:firstLine="720"/>
        <w:jc w:val="both"/>
        <w:rPr>
          <w:b/>
          <w:noProof/>
          <w:sz w:val="24"/>
        </w:rPr>
      </w:pPr>
      <w:r w:rsidRPr="009E7141">
        <w:rPr>
          <w:noProof/>
          <w:sz w:val="24"/>
        </w:rPr>
        <w:t>Общ</w:t>
      </w:r>
      <w:r w:rsidR="00657A30" w:rsidRPr="009E7141">
        <w:rPr>
          <w:noProof/>
          <w:sz w:val="24"/>
        </w:rPr>
        <w:t>ият</w:t>
      </w:r>
      <w:r w:rsidRPr="009E7141">
        <w:rPr>
          <w:noProof/>
          <w:sz w:val="24"/>
        </w:rPr>
        <w:t xml:space="preserve"> брой </w:t>
      </w:r>
      <w:r w:rsidR="00657A30" w:rsidRPr="009E7141">
        <w:rPr>
          <w:noProof/>
          <w:sz w:val="24"/>
        </w:rPr>
        <w:t xml:space="preserve">на </w:t>
      </w:r>
      <w:r w:rsidR="00657A30" w:rsidRPr="009E7141">
        <w:rPr>
          <w:b/>
          <w:noProof/>
          <w:sz w:val="24"/>
        </w:rPr>
        <w:t>недостигащите</w:t>
      </w:r>
      <w:r w:rsidR="00350F41" w:rsidRPr="009E7141">
        <w:rPr>
          <w:noProof/>
          <w:sz w:val="24"/>
        </w:rPr>
        <w:t xml:space="preserve"> </w:t>
      </w:r>
      <w:r w:rsidR="00350F41" w:rsidRPr="009E7141">
        <w:rPr>
          <w:rStyle w:val="FontStyle113"/>
          <w:b/>
          <w:noProof/>
          <w:sz w:val="24"/>
          <w:szCs w:val="24"/>
        </w:rPr>
        <w:t>параметрите за минимална осигуреност</w:t>
      </w:r>
      <w:r w:rsidR="00350F41" w:rsidRPr="009E7141">
        <w:rPr>
          <w:noProof/>
          <w:sz w:val="24"/>
        </w:rPr>
        <w:t xml:space="preserve"> </w:t>
      </w:r>
      <w:r w:rsidRPr="009E7141">
        <w:rPr>
          <w:b/>
          <w:noProof/>
          <w:sz w:val="24"/>
        </w:rPr>
        <w:t>легла</w:t>
      </w:r>
      <w:r w:rsidRPr="009E7141">
        <w:rPr>
          <w:noProof/>
          <w:sz w:val="24"/>
        </w:rPr>
        <w:t xml:space="preserve"> </w:t>
      </w:r>
      <w:r w:rsidR="00350F41" w:rsidRPr="009E7141">
        <w:rPr>
          <w:noProof/>
          <w:sz w:val="24"/>
        </w:rPr>
        <w:t xml:space="preserve"> </w:t>
      </w:r>
      <w:r w:rsidR="00350F41" w:rsidRPr="009E7141">
        <w:rPr>
          <w:b/>
          <w:noProof/>
          <w:sz w:val="24"/>
        </w:rPr>
        <w:t>е</w:t>
      </w:r>
      <w:r w:rsidRPr="009E7141">
        <w:rPr>
          <w:noProof/>
          <w:sz w:val="24"/>
        </w:rPr>
        <w:t xml:space="preserve"> </w:t>
      </w:r>
      <w:r w:rsidRPr="009E7141">
        <w:rPr>
          <w:b/>
          <w:noProof/>
          <w:sz w:val="24"/>
        </w:rPr>
        <w:t>360</w:t>
      </w:r>
      <w:r w:rsidR="00350F41" w:rsidRPr="009E7141">
        <w:rPr>
          <w:b/>
          <w:noProof/>
          <w:sz w:val="24"/>
        </w:rPr>
        <w:t xml:space="preserve"> </w:t>
      </w:r>
      <w:r w:rsidR="00350F41" w:rsidRPr="009E7141">
        <w:rPr>
          <w:noProof/>
          <w:sz w:val="24"/>
        </w:rPr>
        <w:t xml:space="preserve">от които 190 са легла за активно лечение,140 </w:t>
      </w:r>
      <w:r w:rsidR="00350F41" w:rsidRPr="009E7141">
        <w:rPr>
          <w:noProof/>
          <w:color w:val="000000"/>
          <w:sz w:val="24"/>
          <w:lang w:eastAsia="bg-BG"/>
        </w:rPr>
        <w:t>за дългосрочни грижи и 30 за физиотерапия и рехабилитация.</w:t>
      </w:r>
    </w:p>
    <w:p w:rsidR="00B94009" w:rsidRPr="009E7141" w:rsidRDefault="00261E33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Предложението за разпределение на леглата по специалности и нива на компетентност  е съобразено с наличните в момента легла</w:t>
      </w:r>
      <w:r w:rsidR="002E1E4B" w:rsidRPr="009E7141">
        <w:rPr>
          <w:noProof/>
          <w:sz w:val="24"/>
        </w:rPr>
        <w:t>,със  съществуващия дефицит на легла</w:t>
      </w:r>
      <w:r w:rsidRPr="009E7141">
        <w:rPr>
          <w:noProof/>
          <w:sz w:val="24"/>
        </w:rPr>
        <w:t xml:space="preserve"> и с заложените в методиката съотношения.</w:t>
      </w:r>
    </w:p>
    <w:p w:rsidR="00D85845" w:rsidRPr="009E7141" w:rsidRDefault="00261E33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 xml:space="preserve">В </w:t>
      </w:r>
      <w:r w:rsidR="00235C5E" w:rsidRPr="009E7141">
        <w:rPr>
          <w:noProof/>
          <w:sz w:val="24"/>
        </w:rPr>
        <w:t>таблица</w:t>
      </w:r>
      <w:r w:rsidR="00235C5E" w:rsidRPr="009E7141">
        <w:rPr>
          <w:b/>
          <w:noProof/>
          <w:sz w:val="24"/>
        </w:rPr>
        <w:t xml:space="preserve"> </w:t>
      </w:r>
      <w:r w:rsidRPr="009E7141">
        <w:rPr>
          <w:b/>
          <w:noProof/>
          <w:sz w:val="24"/>
        </w:rPr>
        <w:t xml:space="preserve">Приложение 2-2 </w:t>
      </w:r>
      <w:r w:rsidRPr="009E7141">
        <w:rPr>
          <w:noProof/>
          <w:sz w:val="24"/>
        </w:rPr>
        <w:t>леглата са разпределени в съответствие с дейностите, които се извършват и нивото на компетентност</w:t>
      </w:r>
      <w:r w:rsidR="00F11349" w:rsidRPr="009E7141">
        <w:rPr>
          <w:noProof/>
          <w:sz w:val="24"/>
        </w:rPr>
        <w:t>,</w:t>
      </w:r>
      <w:r w:rsidRPr="009E7141">
        <w:rPr>
          <w:noProof/>
          <w:sz w:val="24"/>
        </w:rPr>
        <w:t xml:space="preserve"> което </w:t>
      </w:r>
      <w:r w:rsidR="00D85845" w:rsidRPr="009E7141">
        <w:rPr>
          <w:noProof/>
          <w:sz w:val="24"/>
        </w:rPr>
        <w:t xml:space="preserve">се </w:t>
      </w:r>
      <w:r w:rsidRPr="009E7141">
        <w:rPr>
          <w:noProof/>
          <w:sz w:val="24"/>
        </w:rPr>
        <w:t xml:space="preserve">изисква за медицинските специалности за които има </w:t>
      </w:r>
      <w:r w:rsidR="00634A64" w:rsidRPr="009E7141">
        <w:rPr>
          <w:noProof/>
          <w:sz w:val="24"/>
        </w:rPr>
        <w:t xml:space="preserve">наличен </w:t>
      </w:r>
      <w:r w:rsidRPr="009E7141">
        <w:rPr>
          <w:noProof/>
          <w:sz w:val="24"/>
        </w:rPr>
        <w:t xml:space="preserve">кадрови ресурс и обезпеченост с </w:t>
      </w:r>
      <w:r w:rsidR="00D55E10" w:rsidRPr="009E7141">
        <w:rPr>
          <w:noProof/>
          <w:sz w:val="24"/>
        </w:rPr>
        <w:t xml:space="preserve">база, структура и </w:t>
      </w:r>
      <w:r w:rsidRPr="009E7141">
        <w:rPr>
          <w:noProof/>
          <w:sz w:val="24"/>
        </w:rPr>
        <w:t>апаратура.</w:t>
      </w:r>
      <w:r w:rsidR="00F53A5C" w:rsidRPr="009E7141">
        <w:rPr>
          <w:noProof/>
          <w:sz w:val="24"/>
        </w:rPr>
        <w:t xml:space="preserve"> </w:t>
      </w:r>
      <w:r w:rsidR="00D3015B" w:rsidRPr="009E7141">
        <w:rPr>
          <w:noProof/>
          <w:sz w:val="24"/>
        </w:rPr>
        <w:t xml:space="preserve">За достигане на общия брой легла е необходимо да се добавят </w:t>
      </w:r>
      <w:r w:rsidR="00047809" w:rsidRPr="009E7141">
        <w:rPr>
          <w:noProof/>
          <w:sz w:val="24"/>
        </w:rPr>
        <w:t>360</w:t>
      </w:r>
      <w:r w:rsidR="00D3015B" w:rsidRPr="009E7141">
        <w:rPr>
          <w:noProof/>
          <w:sz w:val="24"/>
        </w:rPr>
        <w:t xml:space="preserve"> легла, които </w:t>
      </w:r>
      <w:r w:rsidR="00594963" w:rsidRPr="009E7141">
        <w:rPr>
          <w:noProof/>
          <w:sz w:val="24"/>
        </w:rPr>
        <w:t>са</w:t>
      </w:r>
      <w:r w:rsidR="00D3015B" w:rsidRPr="009E7141">
        <w:rPr>
          <w:noProof/>
          <w:sz w:val="24"/>
        </w:rPr>
        <w:t xml:space="preserve"> разпределени </w:t>
      </w:r>
      <w:r w:rsidR="00594963" w:rsidRPr="009E7141">
        <w:rPr>
          <w:noProof/>
          <w:sz w:val="24"/>
        </w:rPr>
        <w:t>по следния начин</w:t>
      </w:r>
      <w:r w:rsidR="00D3015B" w:rsidRPr="009E7141">
        <w:rPr>
          <w:noProof/>
          <w:sz w:val="24"/>
        </w:rPr>
        <w:t>:</w:t>
      </w:r>
    </w:p>
    <w:p w:rsidR="00261E33" w:rsidRPr="009E7141" w:rsidRDefault="00D858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  <w:u w:val="single"/>
        </w:rPr>
        <w:t>Интензивни легла</w:t>
      </w:r>
      <w:r w:rsidRPr="009E7141">
        <w:rPr>
          <w:noProof/>
          <w:sz w:val="24"/>
        </w:rPr>
        <w:t xml:space="preserve"> </w:t>
      </w:r>
      <w:r w:rsidR="00F53A5C" w:rsidRPr="009E7141">
        <w:rPr>
          <w:noProof/>
          <w:sz w:val="24"/>
        </w:rPr>
        <w:t>–</w:t>
      </w:r>
      <w:r w:rsidR="00047809" w:rsidRPr="009E7141">
        <w:rPr>
          <w:noProof/>
          <w:sz w:val="24"/>
        </w:rPr>
        <w:t xml:space="preserve"> добавяме 27 легла във второ ниво на компетентност за спазване на съотношението заложено в методиката.</w:t>
      </w:r>
    </w:p>
    <w:p w:rsidR="002E1E4B" w:rsidRPr="009E7141" w:rsidRDefault="00D858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  <w:u w:val="single"/>
        </w:rPr>
        <w:t>Терапевтични легла</w:t>
      </w:r>
      <w:r w:rsidRPr="009E7141">
        <w:rPr>
          <w:noProof/>
          <w:sz w:val="24"/>
        </w:rPr>
        <w:t xml:space="preserve"> – </w:t>
      </w:r>
      <w:r w:rsidR="00F53A5C" w:rsidRPr="009E7141">
        <w:rPr>
          <w:noProof/>
          <w:sz w:val="24"/>
        </w:rPr>
        <w:t xml:space="preserve">добавяме 101 легла в трите нива на компетентност, като даваме превес на </w:t>
      </w:r>
      <w:r w:rsidR="002E1E4B" w:rsidRPr="009E7141">
        <w:rPr>
          <w:noProof/>
          <w:sz w:val="24"/>
        </w:rPr>
        <w:t>първо</w:t>
      </w:r>
      <w:r w:rsidR="00F53A5C" w:rsidRPr="009E7141">
        <w:rPr>
          <w:noProof/>
          <w:sz w:val="24"/>
        </w:rPr>
        <w:t xml:space="preserve"> ниво на компетентност, изхождайки от видовете клинични пътеки</w:t>
      </w:r>
      <w:r w:rsidR="0017722A" w:rsidRPr="009E7141">
        <w:rPr>
          <w:noProof/>
          <w:sz w:val="24"/>
        </w:rPr>
        <w:t>,</w:t>
      </w:r>
      <w:r w:rsidR="00F53A5C" w:rsidRPr="009E7141">
        <w:rPr>
          <w:noProof/>
          <w:sz w:val="24"/>
        </w:rPr>
        <w:t xml:space="preserve"> по които работят лечебните заведения</w:t>
      </w:r>
      <w:r w:rsidR="00937A37" w:rsidRPr="009E7141">
        <w:rPr>
          <w:noProof/>
          <w:sz w:val="24"/>
        </w:rPr>
        <w:t xml:space="preserve"> и техните нива на компетентност за различните видове дейности.</w:t>
      </w:r>
      <w:r w:rsidR="007C6F40" w:rsidRPr="009E7141">
        <w:rPr>
          <w:noProof/>
          <w:sz w:val="24"/>
        </w:rPr>
        <w:t xml:space="preserve"> </w:t>
      </w:r>
    </w:p>
    <w:p w:rsidR="00D85845" w:rsidRPr="009E7141" w:rsidRDefault="00D858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  <w:u w:val="single"/>
        </w:rPr>
        <w:t>Хирургични легла</w:t>
      </w:r>
      <w:r w:rsidRPr="009E7141">
        <w:rPr>
          <w:noProof/>
          <w:sz w:val="24"/>
        </w:rPr>
        <w:t xml:space="preserve"> – </w:t>
      </w:r>
      <w:r w:rsidR="00937A37" w:rsidRPr="009E7141">
        <w:rPr>
          <w:noProof/>
          <w:sz w:val="24"/>
        </w:rPr>
        <w:t>добавяме 43 легла в трите нива на компетентност</w:t>
      </w:r>
      <w:r w:rsidR="00047809" w:rsidRPr="009E7141">
        <w:rPr>
          <w:noProof/>
          <w:sz w:val="24"/>
        </w:rPr>
        <w:t>, придържайки се към съотношението изчислено по методиката</w:t>
      </w:r>
      <w:r w:rsidR="00937A37" w:rsidRPr="009E7141">
        <w:rPr>
          <w:noProof/>
          <w:sz w:val="24"/>
        </w:rPr>
        <w:t>.</w:t>
      </w:r>
    </w:p>
    <w:p w:rsidR="00D85845" w:rsidRPr="009E7141" w:rsidRDefault="00D858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  <w:u w:val="single"/>
        </w:rPr>
        <w:t>Педиатрични легла</w:t>
      </w:r>
      <w:r w:rsidRPr="009E7141">
        <w:rPr>
          <w:noProof/>
          <w:sz w:val="24"/>
        </w:rPr>
        <w:t xml:space="preserve"> – </w:t>
      </w:r>
      <w:r w:rsidR="00937A37" w:rsidRPr="009E7141">
        <w:rPr>
          <w:noProof/>
          <w:sz w:val="24"/>
        </w:rPr>
        <w:t xml:space="preserve">запазваме наличния брой </w:t>
      </w:r>
      <w:r w:rsidR="00235C5E" w:rsidRPr="009E7141">
        <w:rPr>
          <w:noProof/>
          <w:sz w:val="24"/>
        </w:rPr>
        <w:t xml:space="preserve">от </w:t>
      </w:r>
      <w:r w:rsidR="00937A37" w:rsidRPr="009E7141">
        <w:rPr>
          <w:noProof/>
          <w:sz w:val="24"/>
        </w:rPr>
        <w:t>71 легла</w:t>
      </w:r>
      <w:r w:rsidR="00047809" w:rsidRPr="009E7141">
        <w:rPr>
          <w:noProof/>
          <w:sz w:val="24"/>
        </w:rPr>
        <w:t xml:space="preserve"> разпределени в първо и второ ниво на компетентност</w:t>
      </w:r>
      <w:r w:rsidR="002E1E4B" w:rsidRPr="009E7141">
        <w:rPr>
          <w:noProof/>
          <w:sz w:val="24"/>
        </w:rPr>
        <w:t>.</w:t>
      </w:r>
    </w:p>
    <w:p w:rsidR="00D85845" w:rsidRPr="009E7141" w:rsidRDefault="00D85845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  <w:u w:val="single"/>
        </w:rPr>
        <w:t>Акушеро-гинекологични легла</w:t>
      </w:r>
      <w:r w:rsidRPr="009E7141">
        <w:rPr>
          <w:noProof/>
          <w:sz w:val="24"/>
        </w:rPr>
        <w:t xml:space="preserve"> -  </w:t>
      </w:r>
      <w:r w:rsidR="00937A37" w:rsidRPr="009E7141">
        <w:rPr>
          <w:noProof/>
          <w:sz w:val="24"/>
        </w:rPr>
        <w:t>добавяме 19 легла в първо и второ ниво на компетентност, съобразявайки се с нивото което се изисква от клиничните пътеки за работа в родилен, гинекологичен или патологич</w:t>
      </w:r>
      <w:r w:rsidR="00235C5E" w:rsidRPr="009E7141">
        <w:rPr>
          <w:noProof/>
          <w:sz w:val="24"/>
        </w:rPr>
        <w:t xml:space="preserve">на бременност сектор. </w:t>
      </w:r>
    </w:p>
    <w:p w:rsidR="0099163F" w:rsidRPr="009E7141" w:rsidRDefault="00F53A5C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  <w:u w:val="single"/>
        </w:rPr>
        <w:t>Други легла</w:t>
      </w:r>
      <w:r w:rsidR="00D85845" w:rsidRPr="009E7141">
        <w:rPr>
          <w:noProof/>
          <w:sz w:val="24"/>
        </w:rPr>
        <w:t xml:space="preserve"> - </w:t>
      </w:r>
      <w:r w:rsidR="00C968AA" w:rsidRPr="009E7141">
        <w:rPr>
          <w:noProof/>
          <w:sz w:val="24"/>
        </w:rPr>
        <w:t xml:space="preserve">Броят на наличните психиатрични легла към момента е </w:t>
      </w:r>
      <w:r w:rsidR="00472C5D" w:rsidRPr="009E7141">
        <w:rPr>
          <w:b/>
          <w:noProof/>
          <w:sz w:val="24"/>
        </w:rPr>
        <w:t>180</w:t>
      </w:r>
      <w:r w:rsidR="00C968AA" w:rsidRPr="009E7141">
        <w:rPr>
          <w:noProof/>
          <w:sz w:val="24"/>
        </w:rPr>
        <w:t xml:space="preserve"> и е по-голям от </w:t>
      </w:r>
      <w:r w:rsidR="00594963" w:rsidRPr="009E7141">
        <w:rPr>
          <w:noProof/>
          <w:sz w:val="24"/>
        </w:rPr>
        <w:t xml:space="preserve">максималния, </w:t>
      </w:r>
      <w:r w:rsidR="00C968AA" w:rsidRPr="009E7141">
        <w:rPr>
          <w:noProof/>
          <w:sz w:val="24"/>
        </w:rPr>
        <w:t xml:space="preserve"> </w:t>
      </w:r>
      <w:r w:rsidR="00594963" w:rsidRPr="009E7141">
        <w:rPr>
          <w:noProof/>
          <w:sz w:val="24"/>
        </w:rPr>
        <w:t>изчислен на база методиката</w:t>
      </w:r>
      <w:r w:rsidR="00C968AA" w:rsidRPr="009E7141">
        <w:rPr>
          <w:noProof/>
          <w:sz w:val="24"/>
        </w:rPr>
        <w:t xml:space="preserve"> - </w:t>
      </w:r>
      <w:r w:rsidR="000D5B10" w:rsidRPr="009E7141">
        <w:rPr>
          <w:noProof/>
          <w:sz w:val="24"/>
        </w:rPr>
        <w:t>118</w:t>
      </w:r>
      <w:r w:rsidR="00C968AA" w:rsidRPr="009E7141">
        <w:rPr>
          <w:noProof/>
          <w:sz w:val="24"/>
        </w:rPr>
        <w:t>.</w:t>
      </w:r>
    </w:p>
    <w:p w:rsidR="00C968AA" w:rsidRPr="009E7141" w:rsidRDefault="00C968AA" w:rsidP="00E10E42">
      <w:pPr>
        <w:ind w:firstLine="720"/>
        <w:jc w:val="both"/>
        <w:rPr>
          <w:noProof/>
          <w:sz w:val="24"/>
        </w:rPr>
      </w:pPr>
      <w:r w:rsidRPr="009E7141">
        <w:rPr>
          <w:b/>
          <w:noProof/>
          <w:sz w:val="24"/>
        </w:rPr>
        <w:t>Предлагаме да се запази броя на наличните психиатрични легла,тъй като капацитетът на двете лечебни заведения</w:t>
      </w:r>
      <w:r w:rsidRPr="009E7141">
        <w:rPr>
          <w:noProof/>
          <w:sz w:val="24"/>
        </w:rPr>
        <w:t xml:space="preserve"> - ДПБ Карвуна  и ЦПЗ</w:t>
      </w:r>
      <w:r w:rsidRPr="009E7141">
        <w:rPr>
          <w:noProof/>
          <w:sz w:val="24"/>
          <w:lang w:eastAsia="bg-BG"/>
        </w:rPr>
        <w:t xml:space="preserve"> д-р Петър Станчев – ЕООД Добрич</w:t>
      </w:r>
      <w:r w:rsidRPr="009E7141">
        <w:rPr>
          <w:noProof/>
          <w:sz w:val="24"/>
        </w:rPr>
        <w:t xml:space="preserve"> се използва </w:t>
      </w:r>
      <w:r w:rsidRPr="009E7141">
        <w:rPr>
          <w:b/>
          <w:noProof/>
          <w:sz w:val="24"/>
        </w:rPr>
        <w:t>както на регионално, така и на междуобластно,</w:t>
      </w:r>
      <w:r w:rsidR="00895CED" w:rsidRPr="009E7141">
        <w:rPr>
          <w:b/>
          <w:noProof/>
          <w:sz w:val="24"/>
        </w:rPr>
        <w:t xml:space="preserve"> </w:t>
      </w:r>
      <w:r w:rsidRPr="009E7141">
        <w:rPr>
          <w:b/>
          <w:noProof/>
          <w:sz w:val="24"/>
        </w:rPr>
        <w:t>а в някои отношения и на национално ниво.</w:t>
      </w:r>
    </w:p>
    <w:p w:rsidR="00C968AA" w:rsidRPr="009E7141" w:rsidRDefault="00C968A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ДПБ Карвуна</w:t>
      </w:r>
      <w:r w:rsidR="00E10E42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обслужва пациенти и от област</w:t>
      </w:r>
      <w:r w:rsidR="00E10E42" w:rsidRPr="009E7141">
        <w:rPr>
          <w:noProof/>
          <w:sz w:val="24"/>
        </w:rPr>
        <w:t xml:space="preserve">ите </w:t>
      </w:r>
      <w:r w:rsidRPr="009E7141">
        <w:rPr>
          <w:noProof/>
          <w:sz w:val="24"/>
        </w:rPr>
        <w:t>Варна, Силистра,</w:t>
      </w:r>
      <w:r w:rsidR="00895CED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а за психично болни с активна белодробна туберкулоза е единствена за цяла</w:t>
      </w:r>
      <w:r w:rsidR="00181E3A" w:rsidRPr="009E7141">
        <w:rPr>
          <w:noProof/>
          <w:sz w:val="24"/>
        </w:rPr>
        <w:t>та страна.</w:t>
      </w:r>
    </w:p>
    <w:p w:rsidR="00683D3E" w:rsidRPr="009E7141" w:rsidRDefault="00C968AA" w:rsidP="00E10E42">
      <w:pPr>
        <w:ind w:firstLine="720"/>
        <w:jc w:val="both"/>
        <w:rPr>
          <w:noProof/>
          <w:sz w:val="24"/>
        </w:rPr>
      </w:pPr>
      <w:r w:rsidRPr="009E7141">
        <w:rPr>
          <w:noProof/>
          <w:sz w:val="24"/>
        </w:rPr>
        <w:t>Спешното настаняване на лица с обострени психични състояния,</w:t>
      </w:r>
      <w:r w:rsidR="00895CED" w:rsidRPr="009E7141">
        <w:rPr>
          <w:noProof/>
          <w:sz w:val="24"/>
        </w:rPr>
        <w:t xml:space="preserve"> </w:t>
      </w:r>
      <w:r w:rsidRPr="009E7141">
        <w:rPr>
          <w:noProof/>
          <w:sz w:val="24"/>
        </w:rPr>
        <w:t>които се налагат с Постановления на Районните и Окръжна прокуратур</w:t>
      </w:r>
      <w:r w:rsidR="0017722A" w:rsidRPr="009E7141">
        <w:rPr>
          <w:noProof/>
          <w:sz w:val="24"/>
        </w:rPr>
        <w:t>и</w:t>
      </w:r>
      <w:r w:rsidRPr="009E7141">
        <w:rPr>
          <w:noProof/>
          <w:sz w:val="24"/>
        </w:rPr>
        <w:t xml:space="preserve"> и Решения на Районен съд, съгласно чл.157 от Закона за здравето, също значително влияе</w:t>
      </w:r>
      <w:r w:rsidRPr="009E7141">
        <w:rPr>
          <w:noProof/>
        </w:rPr>
        <w:t xml:space="preserve"> </w:t>
      </w:r>
      <w:r w:rsidRPr="009E7141">
        <w:rPr>
          <w:noProof/>
          <w:sz w:val="24"/>
        </w:rPr>
        <w:t>върху  динамичността за легловия фонд.</w:t>
      </w:r>
      <w:r w:rsidRPr="009E7141">
        <w:rPr>
          <w:noProof/>
          <w:sz w:val="24"/>
        </w:rPr>
        <w:tab/>
      </w:r>
    </w:p>
    <w:p w:rsidR="00144B10" w:rsidRPr="009E7141" w:rsidRDefault="00683D3E" w:rsidP="00E10E42">
      <w:pPr>
        <w:ind w:firstLine="720"/>
        <w:jc w:val="both"/>
        <w:rPr>
          <w:noProof/>
          <w:sz w:val="24"/>
          <w:lang w:eastAsia="bg-BG"/>
        </w:rPr>
      </w:pPr>
      <w:r w:rsidRPr="009E7141">
        <w:rPr>
          <w:noProof/>
          <w:sz w:val="24"/>
          <w:lang w:eastAsia="bg-BG"/>
        </w:rPr>
        <w:t>Н</w:t>
      </w:r>
      <w:r w:rsidR="00C968AA" w:rsidRPr="009E7141">
        <w:rPr>
          <w:noProof/>
          <w:sz w:val="24"/>
          <w:lang w:eastAsia="bg-BG"/>
        </w:rPr>
        <w:t>едостиг</w:t>
      </w:r>
      <w:r w:rsidRPr="009E7141">
        <w:rPr>
          <w:noProof/>
          <w:sz w:val="24"/>
          <w:lang w:eastAsia="bg-BG"/>
        </w:rPr>
        <w:t xml:space="preserve">ът </w:t>
      </w:r>
      <w:r w:rsidR="00C968AA" w:rsidRPr="009E7141">
        <w:rPr>
          <w:noProof/>
          <w:sz w:val="24"/>
          <w:lang w:eastAsia="bg-BG"/>
        </w:rPr>
        <w:t xml:space="preserve"> на </w:t>
      </w:r>
      <w:r w:rsidR="00472C5D" w:rsidRPr="009E7141">
        <w:rPr>
          <w:noProof/>
          <w:sz w:val="24"/>
          <w:lang w:eastAsia="bg-BG"/>
        </w:rPr>
        <w:t>140</w:t>
      </w:r>
      <w:r w:rsidR="00C968AA" w:rsidRPr="009E7141">
        <w:rPr>
          <w:noProof/>
          <w:sz w:val="24"/>
          <w:lang w:eastAsia="bg-BG"/>
        </w:rPr>
        <w:t xml:space="preserve"> легла за продължително лечение</w:t>
      </w:r>
      <w:r w:rsidRPr="009E7141">
        <w:rPr>
          <w:noProof/>
          <w:sz w:val="24"/>
          <w:lang w:eastAsia="bg-BG"/>
        </w:rPr>
        <w:t>,</w:t>
      </w:r>
      <w:r w:rsidR="00C968AA" w:rsidRPr="009E7141">
        <w:rPr>
          <w:noProof/>
          <w:sz w:val="24"/>
          <w:lang w:eastAsia="bg-BG"/>
        </w:rPr>
        <w:t xml:space="preserve"> може да бъде компенсиран чрез разкриване на структури за продължително лечение в наличните МБАЛ в областта</w:t>
      </w:r>
      <w:r w:rsidR="0017722A" w:rsidRPr="009E7141">
        <w:rPr>
          <w:noProof/>
          <w:sz w:val="24"/>
          <w:lang w:eastAsia="bg-BG"/>
        </w:rPr>
        <w:t>,</w:t>
      </w:r>
      <w:r w:rsidR="00C968AA" w:rsidRPr="009E7141">
        <w:rPr>
          <w:noProof/>
          <w:sz w:val="24"/>
          <w:lang w:eastAsia="bg-BG"/>
        </w:rPr>
        <w:t xml:space="preserve"> при съществуващ кадрови ресурс и регламентиран начин на финансиране или чрез разкриване на нови лечебни заведения за продължително лечение.</w:t>
      </w:r>
    </w:p>
    <w:p w:rsidR="008013A6" w:rsidRPr="009E7141" w:rsidRDefault="008013A6" w:rsidP="00E10E42">
      <w:pPr>
        <w:ind w:firstLine="720"/>
        <w:jc w:val="both"/>
        <w:rPr>
          <w:b/>
          <w:noProof/>
          <w:sz w:val="24"/>
        </w:rPr>
      </w:pPr>
    </w:p>
    <w:p w:rsidR="004A3087" w:rsidRPr="009E7141" w:rsidRDefault="004A3087" w:rsidP="00E10E42">
      <w:pPr>
        <w:ind w:firstLine="720"/>
        <w:jc w:val="both"/>
        <w:rPr>
          <w:b/>
          <w:noProof/>
          <w:sz w:val="24"/>
        </w:rPr>
      </w:pPr>
    </w:p>
    <w:p w:rsidR="004A3087" w:rsidRPr="009E7141" w:rsidRDefault="004A3087" w:rsidP="00E10E42">
      <w:pPr>
        <w:ind w:firstLine="720"/>
        <w:jc w:val="both"/>
        <w:rPr>
          <w:b/>
          <w:noProof/>
          <w:sz w:val="24"/>
        </w:rPr>
      </w:pPr>
      <w:r w:rsidRPr="009E7141">
        <w:rPr>
          <w:b/>
          <w:noProof/>
          <w:sz w:val="24"/>
        </w:rPr>
        <w:t xml:space="preserve">Страница </w:t>
      </w:r>
      <w:r w:rsidRPr="009E7141">
        <w:rPr>
          <w:b/>
          <w:noProof/>
          <w:sz w:val="24"/>
        </w:rPr>
        <w:fldChar w:fldCharType="begin"/>
      </w:r>
      <w:r w:rsidRPr="009E7141">
        <w:rPr>
          <w:b/>
          <w:noProof/>
          <w:sz w:val="24"/>
        </w:rPr>
        <w:instrText>PAGE  \* Arabic  \* MERGEFORMAT</w:instrText>
      </w:r>
      <w:r w:rsidRPr="009E7141">
        <w:rPr>
          <w:b/>
          <w:noProof/>
          <w:sz w:val="24"/>
        </w:rPr>
        <w:fldChar w:fldCharType="separate"/>
      </w:r>
      <w:r w:rsidRPr="009E7141">
        <w:rPr>
          <w:b/>
          <w:noProof/>
          <w:sz w:val="24"/>
        </w:rPr>
        <w:t>12</w:t>
      </w:r>
      <w:r w:rsidRPr="009E7141">
        <w:rPr>
          <w:b/>
          <w:noProof/>
          <w:sz w:val="24"/>
        </w:rPr>
        <w:fldChar w:fldCharType="end"/>
      </w:r>
      <w:r w:rsidRPr="009E7141">
        <w:rPr>
          <w:b/>
          <w:noProof/>
          <w:sz w:val="24"/>
        </w:rPr>
        <w:t xml:space="preserve"> от </w:t>
      </w:r>
      <w:r w:rsidRPr="009E7141">
        <w:rPr>
          <w:b/>
          <w:noProof/>
          <w:sz w:val="24"/>
        </w:rPr>
        <w:fldChar w:fldCharType="begin"/>
      </w:r>
      <w:r w:rsidRPr="009E7141">
        <w:rPr>
          <w:b/>
          <w:noProof/>
          <w:sz w:val="24"/>
        </w:rPr>
        <w:instrText>NUMPAGES  \* Arabic  \* MERGEFORMAT</w:instrText>
      </w:r>
      <w:r w:rsidRPr="009E7141">
        <w:rPr>
          <w:b/>
          <w:noProof/>
          <w:sz w:val="24"/>
        </w:rPr>
        <w:fldChar w:fldCharType="separate"/>
      </w:r>
      <w:r w:rsidRPr="009E7141">
        <w:rPr>
          <w:b/>
          <w:noProof/>
          <w:sz w:val="24"/>
        </w:rPr>
        <w:t>12</w:t>
      </w:r>
      <w:r w:rsidRPr="009E7141">
        <w:rPr>
          <w:b/>
          <w:noProof/>
          <w:sz w:val="24"/>
        </w:rPr>
        <w:fldChar w:fldCharType="end"/>
      </w:r>
      <w:bookmarkStart w:id="2" w:name="_GoBack"/>
      <w:bookmarkEnd w:id="2"/>
    </w:p>
    <w:sectPr w:rsidR="004A3087" w:rsidRPr="009E7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77B"/>
    <w:multiLevelType w:val="hybridMultilevel"/>
    <w:tmpl w:val="CE84203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51146"/>
    <w:multiLevelType w:val="hybridMultilevel"/>
    <w:tmpl w:val="7FC4FBD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191D"/>
    <w:multiLevelType w:val="hybridMultilevel"/>
    <w:tmpl w:val="50A4F7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29AD"/>
    <w:multiLevelType w:val="hybridMultilevel"/>
    <w:tmpl w:val="97CCDE22"/>
    <w:lvl w:ilvl="0" w:tplc="93D4AF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18B4822"/>
    <w:multiLevelType w:val="hybridMultilevel"/>
    <w:tmpl w:val="6002C118"/>
    <w:lvl w:ilvl="0" w:tplc="E0EC6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4DF6191"/>
    <w:multiLevelType w:val="hybridMultilevel"/>
    <w:tmpl w:val="65BA08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B5665"/>
    <w:multiLevelType w:val="hybridMultilevel"/>
    <w:tmpl w:val="556CA28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3A06E99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E181458"/>
    <w:multiLevelType w:val="singleLevel"/>
    <w:tmpl w:val="71C4C73C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9">
    <w:nsid w:val="2F336779"/>
    <w:multiLevelType w:val="hybridMultilevel"/>
    <w:tmpl w:val="C3B0EC8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2E4647"/>
    <w:multiLevelType w:val="hybridMultilevel"/>
    <w:tmpl w:val="46B6424C"/>
    <w:lvl w:ilvl="0" w:tplc="EA1AA7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3442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F962597"/>
    <w:multiLevelType w:val="hybridMultilevel"/>
    <w:tmpl w:val="AAE811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10995"/>
    <w:multiLevelType w:val="hybridMultilevel"/>
    <w:tmpl w:val="9DB0FF3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B72803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919639C"/>
    <w:multiLevelType w:val="hybridMultilevel"/>
    <w:tmpl w:val="06BA5C60"/>
    <w:lvl w:ilvl="0" w:tplc="0402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>
    <w:nsid w:val="5E855D07"/>
    <w:multiLevelType w:val="hybridMultilevel"/>
    <w:tmpl w:val="43822F34"/>
    <w:lvl w:ilvl="0" w:tplc="A0B4CA8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7">
    <w:nsid w:val="6DCD2BB8"/>
    <w:multiLevelType w:val="hybridMultilevel"/>
    <w:tmpl w:val="D848FF3A"/>
    <w:lvl w:ilvl="0" w:tplc="1EBC9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335A8"/>
    <w:multiLevelType w:val="hybridMultilevel"/>
    <w:tmpl w:val="8CEA652A"/>
    <w:lvl w:ilvl="0" w:tplc="7F660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D013E"/>
    <w:multiLevelType w:val="hybridMultilevel"/>
    <w:tmpl w:val="CECAA8A6"/>
    <w:lvl w:ilvl="0" w:tplc="7F660F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E61F0D"/>
    <w:multiLevelType w:val="singleLevel"/>
    <w:tmpl w:val="FBE674A2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4"/>
  </w:num>
  <w:num w:numId="5">
    <w:abstractNumId w:val="20"/>
  </w:num>
  <w:num w:numId="6">
    <w:abstractNumId w:val="1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19"/>
  </w:num>
  <w:num w:numId="13">
    <w:abstractNumId w:val="0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3"/>
  </w:num>
  <w:num w:numId="19">
    <w:abstractNumId w:val="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1"/>
    <w:rsid w:val="00005D9A"/>
    <w:rsid w:val="00025346"/>
    <w:rsid w:val="000272FB"/>
    <w:rsid w:val="00047809"/>
    <w:rsid w:val="00060990"/>
    <w:rsid w:val="0009178A"/>
    <w:rsid w:val="000A13EE"/>
    <w:rsid w:val="000B588A"/>
    <w:rsid w:val="000B632F"/>
    <w:rsid w:val="000C6D9F"/>
    <w:rsid w:val="000D5B10"/>
    <w:rsid w:val="000D5F14"/>
    <w:rsid w:val="000F6A4F"/>
    <w:rsid w:val="00141F91"/>
    <w:rsid w:val="00144B10"/>
    <w:rsid w:val="0017722A"/>
    <w:rsid w:val="00181E3A"/>
    <w:rsid w:val="00185361"/>
    <w:rsid w:val="00191F01"/>
    <w:rsid w:val="001A43FC"/>
    <w:rsid w:val="001B727E"/>
    <w:rsid w:val="001B7A0C"/>
    <w:rsid w:val="001D5270"/>
    <w:rsid w:val="001E3868"/>
    <w:rsid w:val="001F2E34"/>
    <w:rsid w:val="00222F92"/>
    <w:rsid w:val="00235C5E"/>
    <w:rsid w:val="00261E33"/>
    <w:rsid w:val="0026200C"/>
    <w:rsid w:val="00263855"/>
    <w:rsid w:val="00290B02"/>
    <w:rsid w:val="00291BD7"/>
    <w:rsid w:val="002A3F64"/>
    <w:rsid w:val="002C6159"/>
    <w:rsid w:val="002E1E4B"/>
    <w:rsid w:val="002F0895"/>
    <w:rsid w:val="003238B8"/>
    <w:rsid w:val="00325F93"/>
    <w:rsid w:val="003277BF"/>
    <w:rsid w:val="00350F41"/>
    <w:rsid w:val="00363805"/>
    <w:rsid w:val="0036680E"/>
    <w:rsid w:val="00387087"/>
    <w:rsid w:val="00387270"/>
    <w:rsid w:val="0039739F"/>
    <w:rsid w:val="003A42FA"/>
    <w:rsid w:val="003B5C8E"/>
    <w:rsid w:val="0040027F"/>
    <w:rsid w:val="00404ED1"/>
    <w:rsid w:val="00440834"/>
    <w:rsid w:val="00455AB5"/>
    <w:rsid w:val="00472C5D"/>
    <w:rsid w:val="0048161F"/>
    <w:rsid w:val="004A3087"/>
    <w:rsid w:val="004C0364"/>
    <w:rsid w:val="004C5AE9"/>
    <w:rsid w:val="004E4AFF"/>
    <w:rsid w:val="005024A2"/>
    <w:rsid w:val="0051051D"/>
    <w:rsid w:val="00515FD0"/>
    <w:rsid w:val="0052239A"/>
    <w:rsid w:val="00522D73"/>
    <w:rsid w:val="00523479"/>
    <w:rsid w:val="0052389B"/>
    <w:rsid w:val="00562A82"/>
    <w:rsid w:val="00567D61"/>
    <w:rsid w:val="005910F3"/>
    <w:rsid w:val="00594963"/>
    <w:rsid w:val="005E43DB"/>
    <w:rsid w:val="005E5138"/>
    <w:rsid w:val="005F72AF"/>
    <w:rsid w:val="005F787D"/>
    <w:rsid w:val="00617953"/>
    <w:rsid w:val="00620F55"/>
    <w:rsid w:val="0063179E"/>
    <w:rsid w:val="006341D6"/>
    <w:rsid w:val="00634A64"/>
    <w:rsid w:val="0065109E"/>
    <w:rsid w:val="00657A30"/>
    <w:rsid w:val="00674BBC"/>
    <w:rsid w:val="00683D3E"/>
    <w:rsid w:val="006939E9"/>
    <w:rsid w:val="006A6951"/>
    <w:rsid w:val="006C07C5"/>
    <w:rsid w:val="006D2A1D"/>
    <w:rsid w:val="00723698"/>
    <w:rsid w:val="007369AE"/>
    <w:rsid w:val="00737E55"/>
    <w:rsid w:val="00754389"/>
    <w:rsid w:val="0076216A"/>
    <w:rsid w:val="007816E6"/>
    <w:rsid w:val="007A58F6"/>
    <w:rsid w:val="007C6F40"/>
    <w:rsid w:val="007F6131"/>
    <w:rsid w:val="008013A6"/>
    <w:rsid w:val="008149E9"/>
    <w:rsid w:val="00890E20"/>
    <w:rsid w:val="00895CED"/>
    <w:rsid w:val="008A042F"/>
    <w:rsid w:val="008A12B7"/>
    <w:rsid w:val="008E465F"/>
    <w:rsid w:val="008E6B93"/>
    <w:rsid w:val="008F6184"/>
    <w:rsid w:val="009039C5"/>
    <w:rsid w:val="00916896"/>
    <w:rsid w:val="00920ECF"/>
    <w:rsid w:val="009228F5"/>
    <w:rsid w:val="00927E3E"/>
    <w:rsid w:val="009325C1"/>
    <w:rsid w:val="00933A15"/>
    <w:rsid w:val="00937A37"/>
    <w:rsid w:val="009407B2"/>
    <w:rsid w:val="00943F26"/>
    <w:rsid w:val="00967F08"/>
    <w:rsid w:val="00975670"/>
    <w:rsid w:val="009818C8"/>
    <w:rsid w:val="0099163F"/>
    <w:rsid w:val="00991CE6"/>
    <w:rsid w:val="009A1435"/>
    <w:rsid w:val="009A3405"/>
    <w:rsid w:val="009D25F3"/>
    <w:rsid w:val="009E7141"/>
    <w:rsid w:val="00A10B23"/>
    <w:rsid w:val="00A37B48"/>
    <w:rsid w:val="00A46B51"/>
    <w:rsid w:val="00A56830"/>
    <w:rsid w:val="00A63DBA"/>
    <w:rsid w:val="00AA220D"/>
    <w:rsid w:val="00B05D4A"/>
    <w:rsid w:val="00B25AAF"/>
    <w:rsid w:val="00B335B4"/>
    <w:rsid w:val="00B457B1"/>
    <w:rsid w:val="00B5066D"/>
    <w:rsid w:val="00B5213F"/>
    <w:rsid w:val="00B63813"/>
    <w:rsid w:val="00B80B1A"/>
    <w:rsid w:val="00B94009"/>
    <w:rsid w:val="00B941E5"/>
    <w:rsid w:val="00BA4F45"/>
    <w:rsid w:val="00BE041E"/>
    <w:rsid w:val="00BE4621"/>
    <w:rsid w:val="00BE6D3C"/>
    <w:rsid w:val="00BF01B5"/>
    <w:rsid w:val="00C55295"/>
    <w:rsid w:val="00C624EF"/>
    <w:rsid w:val="00C91233"/>
    <w:rsid w:val="00C968AA"/>
    <w:rsid w:val="00CA0008"/>
    <w:rsid w:val="00CA306D"/>
    <w:rsid w:val="00CA7C0B"/>
    <w:rsid w:val="00CE34A1"/>
    <w:rsid w:val="00D222FD"/>
    <w:rsid w:val="00D25132"/>
    <w:rsid w:val="00D3015B"/>
    <w:rsid w:val="00D352CB"/>
    <w:rsid w:val="00D520F5"/>
    <w:rsid w:val="00D55E10"/>
    <w:rsid w:val="00D6574F"/>
    <w:rsid w:val="00D8238B"/>
    <w:rsid w:val="00D85845"/>
    <w:rsid w:val="00D922C9"/>
    <w:rsid w:val="00DA0B57"/>
    <w:rsid w:val="00DA39C4"/>
    <w:rsid w:val="00DA79F8"/>
    <w:rsid w:val="00DB4913"/>
    <w:rsid w:val="00DD257F"/>
    <w:rsid w:val="00DE42F3"/>
    <w:rsid w:val="00E07023"/>
    <w:rsid w:val="00E10E42"/>
    <w:rsid w:val="00E120B5"/>
    <w:rsid w:val="00E219B2"/>
    <w:rsid w:val="00E268A9"/>
    <w:rsid w:val="00E50AE6"/>
    <w:rsid w:val="00E55977"/>
    <w:rsid w:val="00E63F5E"/>
    <w:rsid w:val="00ED77B5"/>
    <w:rsid w:val="00EE357C"/>
    <w:rsid w:val="00EE73C3"/>
    <w:rsid w:val="00F06FC1"/>
    <w:rsid w:val="00F11349"/>
    <w:rsid w:val="00F22E00"/>
    <w:rsid w:val="00F25B95"/>
    <w:rsid w:val="00F3237B"/>
    <w:rsid w:val="00F419C8"/>
    <w:rsid w:val="00F467BF"/>
    <w:rsid w:val="00F53A5C"/>
    <w:rsid w:val="00F76A15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621"/>
    <w:pPr>
      <w:ind w:firstLine="708"/>
      <w:jc w:val="both"/>
    </w:pPr>
    <w:rPr>
      <w:sz w:val="24"/>
      <w:szCs w:val="32"/>
      <w:lang w:eastAsia="bg-BG"/>
    </w:rPr>
  </w:style>
  <w:style w:type="character" w:customStyle="1" w:styleId="a4">
    <w:name w:val="Основен текст с отстъп Знак"/>
    <w:basedOn w:val="a0"/>
    <w:link w:val="a3"/>
    <w:rsid w:val="00BE4621"/>
    <w:rPr>
      <w:rFonts w:ascii="Times New Roman" w:eastAsia="Times New Roman" w:hAnsi="Times New Roman" w:cs="Times New Roman"/>
      <w:sz w:val="24"/>
      <w:szCs w:val="32"/>
      <w:lang w:val="bg-BG" w:eastAsia="bg-BG"/>
    </w:rPr>
  </w:style>
  <w:style w:type="character" w:customStyle="1" w:styleId="FontStyle113">
    <w:name w:val="Font Style113"/>
    <w:uiPriority w:val="99"/>
    <w:rsid w:val="00BE4621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BE4621"/>
    <w:pPr>
      <w:ind w:left="720"/>
      <w:contextualSpacing/>
    </w:pPr>
  </w:style>
  <w:style w:type="paragraph" w:customStyle="1" w:styleId="Style7">
    <w:name w:val="Style7"/>
    <w:basedOn w:val="a"/>
    <w:uiPriority w:val="99"/>
    <w:rsid w:val="00BE4621"/>
    <w:pPr>
      <w:widowControl w:val="0"/>
      <w:autoSpaceDE w:val="0"/>
      <w:autoSpaceDN w:val="0"/>
      <w:adjustRightInd w:val="0"/>
      <w:jc w:val="both"/>
    </w:pPr>
    <w:rPr>
      <w:sz w:val="24"/>
      <w:lang w:eastAsia="bg-BG"/>
    </w:rPr>
  </w:style>
  <w:style w:type="paragraph" w:customStyle="1" w:styleId="Style16">
    <w:name w:val="Style16"/>
    <w:basedOn w:val="a"/>
    <w:uiPriority w:val="99"/>
    <w:rsid w:val="00BE4621"/>
    <w:pPr>
      <w:widowControl w:val="0"/>
      <w:autoSpaceDE w:val="0"/>
      <w:autoSpaceDN w:val="0"/>
      <w:adjustRightInd w:val="0"/>
      <w:spacing w:line="283" w:lineRule="exact"/>
      <w:ind w:firstLine="859"/>
      <w:jc w:val="both"/>
    </w:pPr>
    <w:rPr>
      <w:sz w:val="24"/>
      <w:lang w:eastAsia="bg-BG"/>
    </w:rPr>
  </w:style>
  <w:style w:type="paragraph" w:styleId="a6">
    <w:name w:val="Plain Text"/>
    <w:basedOn w:val="a"/>
    <w:link w:val="a7"/>
    <w:rsid w:val="005910F3"/>
    <w:rPr>
      <w:rFonts w:ascii="Courier New" w:hAnsi="Courier New" w:cs="Courier New"/>
      <w:sz w:val="20"/>
      <w:szCs w:val="20"/>
      <w:lang w:val="en-GB"/>
    </w:rPr>
  </w:style>
  <w:style w:type="character" w:customStyle="1" w:styleId="a7">
    <w:name w:val="Обикновен текст Знак"/>
    <w:basedOn w:val="a0"/>
    <w:link w:val="a6"/>
    <w:rsid w:val="005910F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621"/>
    <w:pPr>
      <w:ind w:firstLine="708"/>
      <w:jc w:val="both"/>
    </w:pPr>
    <w:rPr>
      <w:sz w:val="24"/>
      <w:szCs w:val="32"/>
      <w:lang w:eastAsia="bg-BG"/>
    </w:rPr>
  </w:style>
  <w:style w:type="character" w:customStyle="1" w:styleId="a4">
    <w:name w:val="Основен текст с отстъп Знак"/>
    <w:basedOn w:val="a0"/>
    <w:link w:val="a3"/>
    <w:rsid w:val="00BE4621"/>
    <w:rPr>
      <w:rFonts w:ascii="Times New Roman" w:eastAsia="Times New Roman" w:hAnsi="Times New Roman" w:cs="Times New Roman"/>
      <w:sz w:val="24"/>
      <w:szCs w:val="32"/>
      <w:lang w:val="bg-BG" w:eastAsia="bg-BG"/>
    </w:rPr>
  </w:style>
  <w:style w:type="character" w:customStyle="1" w:styleId="FontStyle113">
    <w:name w:val="Font Style113"/>
    <w:uiPriority w:val="99"/>
    <w:rsid w:val="00BE4621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BE4621"/>
    <w:pPr>
      <w:ind w:left="720"/>
      <w:contextualSpacing/>
    </w:pPr>
  </w:style>
  <w:style w:type="paragraph" w:customStyle="1" w:styleId="Style7">
    <w:name w:val="Style7"/>
    <w:basedOn w:val="a"/>
    <w:uiPriority w:val="99"/>
    <w:rsid w:val="00BE4621"/>
    <w:pPr>
      <w:widowControl w:val="0"/>
      <w:autoSpaceDE w:val="0"/>
      <w:autoSpaceDN w:val="0"/>
      <w:adjustRightInd w:val="0"/>
      <w:jc w:val="both"/>
    </w:pPr>
    <w:rPr>
      <w:sz w:val="24"/>
      <w:lang w:eastAsia="bg-BG"/>
    </w:rPr>
  </w:style>
  <w:style w:type="paragraph" w:customStyle="1" w:styleId="Style16">
    <w:name w:val="Style16"/>
    <w:basedOn w:val="a"/>
    <w:uiPriority w:val="99"/>
    <w:rsid w:val="00BE4621"/>
    <w:pPr>
      <w:widowControl w:val="0"/>
      <w:autoSpaceDE w:val="0"/>
      <w:autoSpaceDN w:val="0"/>
      <w:adjustRightInd w:val="0"/>
      <w:spacing w:line="283" w:lineRule="exact"/>
      <w:ind w:firstLine="859"/>
      <w:jc w:val="both"/>
    </w:pPr>
    <w:rPr>
      <w:sz w:val="24"/>
      <w:lang w:eastAsia="bg-BG"/>
    </w:rPr>
  </w:style>
  <w:style w:type="paragraph" w:styleId="a6">
    <w:name w:val="Plain Text"/>
    <w:basedOn w:val="a"/>
    <w:link w:val="a7"/>
    <w:rsid w:val="005910F3"/>
    <w:rPr>
      <w:rFonts w:ascii="Courier New" w:hAnsi="Courier New" w:cs="Courier New"/>
      <w:sz w:val="20"/>
      <w:szCs w:val="20"/>
      <w:lang w:val="en-GB"/>
    </w:rPr>
  </w:style>
  <w:style w:type="character" w:customStyle="1" w:styleId="a7">
    <w:name w:val="Обикновен текст Знак"/>
    <w:basedOn w:val="a0"/>
    <w:link w:val="a6"/>
    <w:rsid w:val="005910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C943-3635-4E29-A841-8CED2EAE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12</Pages>
  <Words>4398</Words>
  <Characters>25075</Characters>
  <Application>Microsoft Office Word</Application>
  <DocSecurity>0</DocSecurity>
  <Lines>208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R.Tasheva</cp:lastModifiedBy>
  <cp:revision>22</cp:revision>
  <dcterms:created xsi:type="dcterms:W3CDTF">2015-11-18T12:27:00Z</dcterms:created>
  <dcterms:modified xsi:type="dcterms:W3CDTF">2015-11-20T14:57:00Z</dcterms:modified>
</cp:coreProperties>
</file>